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EE2" w:rsidRPr="00CD13D1" w:rsidRDefault="00EB7EE2" w:rsidP="00EB7EE2">
      <w:pPr>
        <w:pStyle w:val="a3"/>
        <w:rPr>
          <w:rFonts w:hint="cs"/>
          <w:b/>
          <w:bCs/>
          <w:szCs w:val="28"/>
          <w:rtl/>
        </w:rPr>
      </w:pPr>
      <w:r>
        <w:drawing>
          <wp:anchor distT="0" distB="0" distL="114300" distR="114300" simplePos="0" relativeHeight="251660288" behindDoc="1" locked="0" layoutInCell="1" allowOverlap="1">
            <wp:simplePos x="0" y="0"/>
            <wp:positionH relativeFrom="column">
              <wp:posOffset>2857500</wp:posOffset>
            </wp:positionH>
            <wp:positionV relativeFrom="paragraph">
              <wp:posOffset>0</wp:posOffset>
            </wp:positionV>
            <wp:extent cx="3009265" cy="659130"/>
            <wp:effectExtent l="0" t="0" r="635" b="7620"/>
            <wp:wrapNone/>
            <wp:docPr id="4" name="תמונה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lum bright="12000"/>
                      <a:extLst>
                        <a:ext uri="{28A0092B-C50C-407E-A947-70E740481C1C}">
                          <a14:useLocalDpi xmlns:a14="http://schemas.microsoft.com/office/drawing/2010/main" val="0"/>
                        </a:ext>
                      </a:extLst>
                    </a:blip>
                    <a:srcRect/>
                    <a:stretch>
                      <a:fillRect/>
                    </a:stretch>
                  </pic:blipFill>
                  <pic:spPr bwMode="auto">
                    <a:xfrm>
                      <a:off x="0" y="0"/>
                      <a:ext cx="30092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3D1">
        <w:drawing>
          <wp:anchor distT="0" distB="0" distL="114300" distR="114300" simplePos="0" relativeHeight="251659264" behindDoc="1" locked="0" layoutInCell="1" allowOverlap="1">
            <wp:simplePos x="0" y="0"/>
            <wp:positionH relativeFrom="column">
              <wp:posOffset>3086100</wp:posOffset>
            </wp:positionH>
            <wp:positionV relativeFrom="paragraph">
              <wp:posOffset>0</wp:posOffset>
            </wp:positionV>
            <wp:extent cx="2764155" cy="818515"/>
            <wp:effectExtent l="0" t="0" r="17145" b="635"/>
            <wp:wrapNone/>
            <wp:docPr id="3" name="תמונה 3" descr="http://images.webydo.com/12/123940/3958/%D7%9C%D7%95%D7%92%D7%95-%D7%A0%D7%92%D7%98%D7%99%D7%91.png?v=4462410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webydo.com/12/123940/3958/%D7%9C%D7%95%D7%92%D7%95-%D7%A0%D7%92%D7%98%D7%99%D7%91.png?v=44624101212"/>
                    <pic:cNvPicPr>
                      <a:picLocks noChangeAspect="1" noChangeArrowheads="1"/>
                    </pic:cNvPicPr>
                  </pic:nvPicPr>
                  <pic:blipFill>
                    <a:blip r:embed="rId5" r:link="rId6">
                      <a:lum bright="24000" contrast="6000"/>
                      <a:extLst>
                        <a:ext uri="{28A0092B-C50C-407E-A947-70E740481C1C}">
                          <a14:useLocalDpi xmlns:a14="http://schemas.microsoft.com/office/drawing/2010/main" val="0"/>
                        </a:ext>
                      </a:extLst>
                    </a:blip>
                    <a:srcRect/>
                    <a:stretch>
                      <a:fillRect/>
                    </a:stretch>
                  </pic:blipFill>
                  <pic:spPr bwMode="auto">
                    <a:xfrm>
                      <a:off x="0" y="0"/>
                      <a:ext cx="276415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3D1">
        <w:rPr>
          <w:rFonts w:hint="cs"/>
          <w:b/>
          <w:bCs/>
          <w:szCs w:val="28"/>
          <w:rtl/>
        </w:rPr>
        <w:t xml:space="preserve">                                                                                             </w:t>
      </w:r>
    </w:p>
    <w:p w:rsidR="00EB7EE2" w:rsidRPr="00C710DD" w:rsidRDefault="00EB7EE2" w:rsidP="00EB7EE2">
      <w:pPr>
        <w:pStyle w:val="a3"/>
        <w:jc w:val="center"/>
        <w:rPr>
          <w:rFonts w:hint="cs"/>
          <w:b/>
          <w:bCs/>
          <w:color w:val="333333"/>
          <w:szCs w:val="28"/>
          <w:rtl/>
        </w:rPr>
      </w:pPr>
      <w:r w:rsidRPr="00C710DD">
        <w:rPr>
          <w:rFonts w:hint="cs"/>
          <w:b/>
          <w:bCs/>
          <w:color w:val="333333"/>
          <w:szCs w:val="28"/>
          <w:rtl/>
        </w:rPr>
        <w:t xml:space="preserve">                                                               </w:t>
      </w:r>
      <w:r>
        <w:rPr>
          <w:rFonts w:hint="cs"/>
          <w:b/>
          <w:bCs/>
          <w:color w:val="333333"/>
          <w:szCs w:val="28"/>
          <w:rtl/>
        </w:rPr>
        <w:t xml:space="preserve">                          </w:t>
      </w:r>
      <w:bookmarkStart w:id="0" w:name="_GoBack"/>
      <w:bookmarkEnd w:id="0"/>
      <w:r w:rsidRPr="00C710DD">
        <w:rPr>
          <w:rFonts w:hint="cs"/>
          <w:b/>
          <w:bCs/>
          <w:color w:val="333333"/>
          <w:szCs w:val="28"/>
          <w:rtl/>
        </w:rPr>
        <w:t xml:space="preserve"> משרד בוטיק בדיני עבודה</w:t>
      </w:r>
    </w:p>
    <w:p w:rsidR="00EB7EE2" w:rsidRPr="00CD13D1" w:rsidRDefault="00EB7EE2" w:rsidP="00EB7EE2">
      <w:pPr>
        <w:pStyle w:val="a3"/>
        <w:rPr>
          <w:rFonts w:hint="cs"/>
          <w:rtl/>
        </w:rPr>
      </w:pPr>
    </w:p>
    <w:p w:rsidR="00EB7EE2" w:rsidRDefault="00EB7EE2" w:rsidP="00EB7EE2">
      <w:pPr>
        <w:pStyle w:val="a3"/>
        <w:rPr>
          <w:rFonts w:hint="cs"/>
          <w:rtl/>
        </w:rPr>
      </w:pPr>
    </w:p>
    <w:p w:rsidR="00EB7EE2" w:rsidRDefault="00EB7EE2" w:rsidP="00EB7EE2">
      <w:pPr>
        <w:pStyle w:val="a3"/>
        <w:rPr>
          <w:rFonts w:hint="cs"/>
          <w:rtl/>
        </w:rPr>
      </w:pPr>
    </w:p>
    <w:p w:rsidR="00EB7EE2" w:rsidRPr="00EE131F" w:rsidRDefault="00EB7EE2" w:rsidP="00EB7EE2">
      <w:pPr>
        <w:pBdr>
          <w:top w:val="thickThinMediumGap" w:sz="24" w:space="2" w:color="808080"/>
          <w:left w:val="thickThinMediumGap" w:sz="24" w:space="0" w:color="808080"/>
          <w:bottom w:val="thickThinMediumGap" w:sz="24" w:space="0" w:color="808080"/>
          <w:right w:val="thickThinMediumGap" w:sz="24" w:space="0" w:color="808080"/>
        </w:pBdr>
        <w:tabs>
          <w:tab w:val="left" w:pos="1416"/>
          <w:tab w:val="right" w:pos="10205"/>
        </w:tabs>
        <w:ind w:right="-180" w:hanging="687"/>
        <w:jc w:val="center"/>
        <w:outlineLvl w:val="0"/>
        <w:rPr>
          <w:rFonts w:hint="cs"/>
          <w:b/>
          <w:bCs/>
          <w:color w:val="000080"/>
          <w:sz w:val="32"/>
          <w:szCs w:val="32"/>
          <w:rtl/>
        </w:rPr>
      </w:pPr>
      <w:r w:rsidRPr="00EE131F">
        <w:rPr>
          <w:rFonts w:hint="cs"/>
          <w:b/>
          <w:bCs/>
          <w:color w:val="000080"/>
          <w:sz w:val="32"/>
          <w:szCs w:val="32"/>
          <w:rtl/>
        </w:rPr>
        <w:t>עדכון</w:t>
      </w:r>
      <w:r>
        <w:rPr>
          <w:rFonts w:hint="cs"/>
          <w:b/>
          <w:bCs/>
          <w:color w:val="000080"/>
          <w:sz w:val="32"/>
          <w:szCs w:val="32"/>
          <w:rtl/>
        </w:rPr>
        <w:t xml:space="preserve"> </w:t>
      </w:r>
      <w:r w:rsidRPr="00EE131F">
        <w:rPr>
          <w:rFonts w:hint="cs"/>
          <w:b/>
          <w:bCs/>
          <w:color w:val="000080"/>
          <w:sz w:val="32"/>
          <w:szCs w:val="32"/>
          <w:rtl/>
        </w:rPr>
        <w:t>פסיקה שבועי מס'</w:t>
      </w:r>
      <w:r>
        <w:rPr>
          <w:rFonts w:hint="cs"/>
          <w:b/>
          <w:bCs/>
          <w:color w:val="000080"/>
          <w:sz w:val="32"/>
          <w:szCs w:val="32"/>
          <w:rtl/>
        </w:rPr>
        <w:t xml:space="preserve"> 698</w:t>
      </w:r>
      <w:r w:rsidRPr="00EE131F">
        <w:rPr>
          <w:rFonts w:hint="cs"/>
          <w:b/>
          <w:bCs/>
          <w:color w:val="000080"/>
          <w:sz w:val="32"/>
          <w:szCs w:val="32"/>
          <w:rtl/>
        </w:rPr>
        <w:t xml:space="preserve"> </w:t>
      </w:r>
      <w:r>
        <w:rPr>
          <w:rFonts w:hint="cs"/>
          <w:b/>
          <w:bCs/>
          <w:color w:val="000080"/>
          <w:sz w:val="32"/>
          <w:szCs w:val="32"/>
          <w:rtl/>
        </w:rPr>
        <w:t>26/08/2018</w:t>
      </w:r>
    </w:p>
    <w:p w:rsidR="00EB7EE2" w:rsidRDefault="00EB7EE2" w:rsidP="00EB7EE2">
      <w:pPr>
        <w:tabs>
          <w:tab w:val="clear" w:pos="0"/>
          <w:tab w:val="left" w:pos="-110"/>
        </w:tabs>
        <w:rPr>
          <w:rFonts w:ascii="Arial" w:eastAsia="Times New Roman" w:hAnsi="Arial" w:hint="cs"/>
          <w:b/>
          <w:bCs/>
          <w:color w:val="FFFFFF"/>
          <w:sz w:val="32"/>
          <w:szCs w:val="36"/>
          <w:u w:val="single"/>
        </w:rPr>
      </w:pPr>
      <w:r>
        <w:rPr>
          <w:noProof/>
        </w:rPr>
        <w:drawing>
          <wp:anchor distT="0" distB="0" distL="114300" distR="114300" simplePos="0" relativeHeight="251661312" behindDoc="1" locked="0" layoutInCell="1" allowOverlap="1">
            <wp:simplePos x="0" y="0"/>
            <wp:positionH relativeFrom="column">
              <wp:posOffset>-182880</wp:posOffset>
            </wp:positionH>
            <wp:positionV relativeFrom="paragraph">
              <wp:posOffset>177165</wp:posOffset>
            </wp:positionV>
            <wp:extent cx="6172200" cy="1189990"/>
            <wp:effectExtent l="0" t="0" r="0" b="0"/>
            <wp:wrapNone/>
            <wp:docPr id="2" name="תמונה 2" descr="sit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 strip"/>
                    <pic:cNvPicPr>
                      <a:picLocks noChangeAspect="1" noChangeArrowheads="1"/>
                    </pic:cNvPicPr>
                  </pic:nvPicPr>
                  <pic:blipFill>
                    <a:blip r:embed="rId7">
                      <a:lum bright="6000" contrast="12000"/>
                      <a:extLst>
                        <a:ext uri="{28A0092B-C50C-407E-A947-70E740481C1C}">
                          <a14:useLocalDpi xmlns:a14="http://schemas.microsoft.com/office/drawing/2010/main" val="0"/>
                        </a:ext>
                      </a:extLst>
                    </a:blip>
                    <a:srcRect/>
                    <a:stretch>
                      <a:fillRect/>
                    </a:stretch>
                  </pic:blipFill>
                  <pic:spPr bwMode="auto">
                    <a:xfrm>
                      <a:off x="0" y="0"/>
                      <a:ext cx="617220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EE2" w:rsidRDefault="00EB7EE2" w:rsidP="00EB7EE2">
      <w:pPr>
        <w:tabs>
          <w:tab w:val="clear" w:pos="0"/>
          <w:tab w:val="left" w:pos="-110"/>
        </w:tabs>
        <w:ind w:left="-151" w:hanging="139"/>
        <w:rPr>
          <w:rFonts w:ascii="Arial" w:eastAsia="Times New Roman" w:hAnsi="Arial" w:hint="cs"/>
          <w:b/>
          <w:bCs/>
          <w:color w:val="FFFFFF"/>
          <w:sz w:val="32"/>
          <w:szCs w:val="36"/>
          <w:u w:val="single"/>
        </w:rPr>
      </w:pPr>
    </w:p>
    <w:p w:rsidR="00EB7EE2" w:rsidRDefault="00EB7EE2" w:rsidP="00EB7EE2">
      <w:pPr>
        <w:tabs>
          <w:tab w:val="clear" w:pos="0"/>
          <w:tab w:val="left" w:pos="-110"/>
        </w:tabs>
        <w:ind w:left="-151" w:hanging="139"/>
        <w:rPr>
          <w:rFonts w:ascii="Arial" w:eastAsia="Times New Roman" w:hAnsi="Arial" w:hint="cs"/>
          <w:b/>
          <w:bCs/>
          <w:color w:val="FFFFFF"/>
          <w:sz w:val="32"/>
          <w:szCs w:val="36"/>
          <w:u w:val="single"/>
        </w:rPr>
      </w:pPr>
    </w:p>
    <w:p w:rsidR="00EB7EE2" w:rsidRDefault="00EB7EE2" w:rsidP="00EB7EE2">
      <w:pPr>
        <w:tabs>
          <w:tab w:val="clear" w:pos="0"/>
          <w:tab w:val="left" w:pos="-110"/>
        </w:tabs>
        <w:ind w:left="-151" w:hanging="139"/>
        <w:rPr>
          <w:rFonts w:ascii="Arial" w:eastAsia="Times New Roman" w:hAnsi="Arial" w:hint="cs"/>
          <w:b/>
          <w:bCs/>
          <w:color w:val="FFFFFF"/>
          <w:sz w:val="32"/>
          <w:szCs w:val="36"/>
          <w:u w:val="single"/>
          <w:rtl/>
        </w:rPr>
      </w:pPr>
    </w:p>
    <w:p w:rsidR="00EB7EE2" w:rsidRDefault="00EB7EE2" w:rsidP="00EB7EE2">
      <w:pPr>
        <w:tabs>
          <w:tab w:val="clear" w:pos="0"/>
          <w:tab w:val="left" w:pos="-110"/>
        </w:tabs>
        <w:ind w:left="-151" w:hanging="139"/>
        <w:rPr>
          <w:rFonts w:ascii="Arial" w:eastAsia="Times New Roman" w:hAnsi="Arial" w:hint="cs"/>
          <w:b/>
          <w:bCs/>
          <w:sz w:val="32"/>
          <w:szCs w:val="36"/>
          <w:u w:val="single"/>
          <w:rtl/>
        </w:rPr>
      </w:pPr>
    </w:p>
    <w:p w:rsidR="00EB7EE2" w:rsidRDefault="00EB7EE2" w:rsidP="00EB7EE2">
      <w:pPr>
        <w:tabs>
          <w:tab w:val="clear" w:pos="0"/>
          <w:tab w:val="left" w:pos="-110"/>
        </w:tabs>
        <w:ind w:left="-151" w:hanging="139"/>
        <w:rPr>
          <w:rFonts w:ascii="Arial" w:eastAsia="Times New Roman" w:hAnsi="Arial"/>
          <w:b/>
          <w:bCs/>
          <w:sz w:val="32"/>
          <w:szCs w:val="36"/>
          <w:u w:val="single"/>
          <w:rtl/>
        </w:rPr>
      </w:pPr>
    </w:p>
    <w:p w:rsidR="00EB7EE2" w:rsidRDefault="00EB7EE2" w:rsidP="00EB7EE2">
      <w:pPr>
        <w:tabs>
          <w:tab w:val="clear" w:pos="0"/>
          <w:tab w:val="left" w:pos="-110"/>
        </w:tabs>
        <w:ind w:left="-151" w:hanging="139"/>
        <w:rPr>
          <w:rFonts w:ascii="Arial" w:eastAsia="Times New Roman" w:hAnsi="Arial"/>
          <w:b/>
          <w:bCs/>
          <w:sz w:val="32"/>
          <w:szCs w:val="36"/>
          <w:u w:val="single"/>
          <w:rtl/>
        </w:rPr>
      </w:pPr>
    </w:p>
    <w:p w:rsidR="00EB7EE2" w:rsidRDefault="00EB7EE2" w:rsidP="00EB7EE2">
      <w:pPr>
        <w:tabs>
          <w:tab w:val="clear" w:pos="0"/>
          <w:tab w:val="left" w:pos="117"/>
        </w:tabs>
        <w:spacing w:before="240" w:line="360" w:lineRule="auto"/>
        <w:ind w:left="0" w:firstLine="0"/>
        <w:rPr>
          <w:rFonts w:ascii="Arial" w:eastAsia="Times New Roman" w:hAnsi="Arial"/>
          <w:b/>
          <w:bCs/>
          <w:sz w:val="32"/>
          <w:szCs w:val="36"/>
          <w:u w:val="single"/>
          <w:rtl/>
        </w:rPr>
      </w:pPr>
      <w:r>
        <w:rPr>
          <w:rFonts w:ascii="Arial" w:eastAsia="Times New Roman" w:hAnsi="Arial" w:hint="cs"/>
          <w:b/>
          <w:bCs/>
          <w:sz w:val="32"/>
          <w:szCs w:val="36"/>
          <w:u w:val="single"/>
          <w:rtl/>
        </w:rPr>
        <w:t>בית הדין הארצי לעבודה</w:t>
      </w:r>
    </w:p>
    <w:p w:rsidR="00EB7EE2" w:rsidRDefault="00EB7EE2" w:rsidP="00EB7EE2">
      <w:pPr>
        <w:tabs>
          <w:tab w:val="clear" w:pos="0"/>
          <w:tab w:val="left" w:pos="117"/>
        </w:tabs>
        <w:spacing w:before="240" w:line="360" w:lineRule="auto"/>
        <w:ind w:left="0" w:firstLine="0"/>
        <w:rPr>
          <w:rFonts w:ascii="Arial" w:hAnsi="Arial" w:hint="cs"/>
          <w:b/>
          <w:bCs/>
          <w:color w:val="0000FF"/>
          <w:sz w:val="32"/>
          <w:szCs w:val="32"/>
          <w:u w:val="single"/>
          <w:rtl/>
        </w:rPr>
      </w:pPr>
      <w:r>
        <w:rPr>
          <w:rFonts w:ascii="Arial" w:hAnsi="Arial" w:hint="cs"/>
          <w:b/>
          <w:bCs/>
          <w:color w:val="0000FF"/>
          <w:sz w:val="32"/>
          <w:szCs w:val="32"/>
          <w:u w:val="single"/>
          <w:rtl/>
        </w:rPr>
        <w:t xml:space="preserve">רשימת לקוחות </w:t>
      </w:r>
      <w:r>
        <w:rPr>
          <w:rFonts w:ascii="Arial" w:hAnsi="Arial"/>
          <w:b/>
          <w:bCs/>
          <w:color w:val="0000FF"/>
          <w:sz w:val="32"/>
          <w:szCs w:val="32"/>
          <w:u w:val="single"/>
          <w:rtl/>
        </w:rPr>
        <w:t xml:space="preserve">עם </w:t>
      </w:r>
      <w:r w:rsidRPr="00311E88">
        <w:rPr>
          <w:rFonts w:ascii="Arial" w:hAnsi="Arial"/>
          <w:b/>
          <w:bCs/>
          <w:color w:val="0000FF"/>
          <w:sz w:val="32"/>
          <w:szCs w:val="32"/>
          <w:u w:val="single"/>
          <w:rtl/>
        </w:rPr>
        <w:t xml:space="preserve">מידע על </w:t>
      </w:r>
      <w:r>
        <w:rPr>
          <w:rFonts w:ascii="Arial" w:hAnsi="Arial" w:hint="cs"/>
          <w:b/>
          <w:bCs/>
          <w:color w:val="0000FF"/>
          <w:sz w:val="32"/>
          <w:szCs w:val="32"/>
          <w:u w:val="single"/>
          <w:rtl/>
        </w:rPr>
        <w:t>"</w:t>
      </w:r>
      <w:r w:rsidRPr="00311E88">
        <w:rPr>
          <w:rFonts w:ascii="Arial" w:hAnsi="Arial"/>
          <w:b/>
          <w:bCs/>
          <w:color w:val="0000FF"/>
          <w:sz w:val="32"/>
          <w:szCs w:val="32"/>
          <w:u w:val="single"/>
          <w:rtl/>
        </w:rPr>
        <w:t xml:space="preserve">פרופיל </w:t>
      </w:r>
      <w:proofErr w:type="spellStart"/>
      <w:r w:rsidRPr="00311E88">
        <w:rPr>
          <w:rFonts w:ascii="Arial" w:hAnsi="Arial"/>
          <w:b/>
          <w:bCs/>
          <w:color w:val="0000FF"/>
          <w:sz w:val="32"/>
          <w:szCs w:val="32"/>
          <w:u w:val="single"/>
          <w:rtl/>
        </w:rPr>
        <w:t>עיסקי</w:t>
      </w:r>
      <w:proofErr w:type="spellEnd"/>
      <w:r>
        <w:rPr>
          <w:rFonts w:ascii="Arial" w:hAnsi="Arial" w:hint="cs"/>
          <w:b/>
          <w:bCs/>
          <w:color w:val="0000FF"/>
          <w:sz w:val="32"/>
          <w:szCs w:val="32"/>
          <w:u w:val="single"/>
          <w:rtl/>
        </w:rPr>
        <w:t>"</w:t>
      </w:r>
      <w:r w:rsidRPr="00311E88">
        <w:rPr>
          <w:rFonts w:ascii="Arial" w:hAnsi="Arial"/>
          <w:b/>
          <w:bCs/>
          <w:color w:val="0000FF"/>
          <w:sz w:val="32"/>
          <w:szCs w:val="32"/>
          <w:u w:val="single"/>
          <w:rtl/>
        </w:rPr>
        <w:t xml:space="preserve"> שלהם </w:t>
      </w:r>
      <w:r>
        <w:rPr>
          <w:rFonts w:ascii="Arial" w:hAnsi="Arial" w:hint="cs"/>
          <w:b/>
          <w:bCs/>
          <w:color w:val="0000FF"/>
          <w:sz w:val="32"/>
          <w:szCs w:val="32"/>
          <w:u w:val="single"/>
          <w:rtl/>
        </w:rPr>
        <w:t>מהווה סוד מסחרי.</w:t>
      </w:r>
    </w:p>
    <w:p w:rsidR="00EB7EE2" w:rsidRPr="00744572" w:rsidRDefault="00EB7EE2" w:rsidP="00EB7EE2">
      <w:pPr>
        <w:tabs>
          <w:tab w:val="clear" w:pos="0"/>
          <w:tab w:val="left" w:pos="117"/>
        </w:tabs>
        <w:spacing w:before="240" w:line="360" w:lineRule="auto"/>
        <w:ind w:left="0" w:firstLine="0"/>
        <w:rPr>
          <w:rFonts w:hint="cs"/>
          <w:b/>
          <w:bCs/>
          <w:sz w:val="28"/>
          <w:szCs w:val="28"/>
          <w:rtl/>
        </w:rPr>
      </w:pPr>
      <w:r>
        <w:rPr>
          <w:rFonts w:hint="cs"/>
          <w:b/>
          <w:bCs/>
          <w:sz w:val="28"/>
          <w:szCs w:val="28"/>
          <w:rtl/>
        </w:rPr>
        <w:t xml:space="preserve">העובד מבקש הערעור, הועסק ע"י החברה בחוזה אישי כאיש מכירות. העובד התחייב בחוזה לשמור על סודותיה של החברה כולל רשימת הלקוחות ופרטי הלקוחות שהגיעו לעובד במסגרת העבודה. מיד לאחר התפטרותו, החל העובד לעבוד בחברה המתחרה. המעסיקה, הגישה בקשה לצווי מניעה זמניים למנוע מהעובד ומהחברה המתחרה פנייה ללקוחותיה. בית הדין האזורי פסק כי, פרטי הלקוחות, תנאי ההתקשרות עימם, ופרטים נוספים הקשורים לצורכי הלקוחות מהווים סוד מסחרי וקיבל את הבקשה לצו מניעה למשך 6 חודשים מיום מתן ההחלטה. העובד הגיש בקשת רשות ערעור על ההחלטה  בטענה כי רשימת לקוחות הינו מידע אשר ניתן להשיג בקלות ועל כן פרטי הלקוחות שאין כל קושי באיתורם אינם נחשבים "סוד מסחרי". בית הדין הארצי דחה את בקשת רשות הערעור וקבע כי, צרכיו של כל לקוח, אנשי הקשר, צורת התשלום, יכולותיו הכספיות ושביעות רצונו של הלקוח עשויים להקנות יתרון </w:t>
      </w:r>
      <w:proofErr w:type="spellStart"/>
      <w:r>
        <w:rPr>
          <w:rFonts w:hint="cs"/>
          <w:b/>
          <w:bCs/>
          <w:sz w:val="28"/>
          <w:szCs w:val="28"/>
          <w:rtl/>
        </w:rPr>
        <w:t>עיסקי</w:t>
      </w:r>
      <w:proofErr w:type="spellEnd"/>
      <w:r>
        <w:rPr>
          <w:rFonts w:hint="cs"/>
          <w:b/>
          <w:bCs/>
          <w:sz w:val="28"/>
          <w:szCs w:val="28"/>
          <w:rtl/>
        </w:rPr>
        <w:t xml:space="preserve">, וכי ידע זה אינו בהכרח מידע פומבי. אשר על כן יש הבדל בין רשימה שמית של הלקוחות לבין רשימת ה"פרופילים העסקיים" של הלקוחות הכוללת את המידע שמעבר לרשימת הלקוחות, וצו המניעה נשאר על כנו. </w:t>
      </w:r>
    </w:p>
    <w:p w:rsidR="00EB7EE2" w:rsidRPr="00D619DC" w:rsidRDefault="00EB7EE2" w:rsidP="00EB7EE2">
      <w:pPr>
        <w:tabs>
          <w:tab w:val="clear" w:pos="0"/>
          <w:tab w:val="left" w:pos="117"/>
        </w:tabs>
        <w:spacing w:before="240" w:line="360" w:lineRule="auto"/>
        <w:ind w:left="0" w:firstLine="0"/>
        <w:rPr>
          <w:sz w:val="22"/>
          <w:szCs w:val="22"/>
        </w:rPr>
      </w:pPr>
      <w:proofErr w:type="spellStart"/>
      <w:r w:rsidRPr="00D619DC">
        <w:rPr>
          <w:sz w:val="22"/>
          <w:szCs w:val="22"/>
          <w:rtl/>
        </w:rPr>
        <w:t>בר"ע</w:t>
      </w:r>
      <w:proofErr w:type="spellEnd"/>
      <w:r w:rsidRPr="00D619DC">
        <w:rPr>
          <w:sz w:val="22"/>
          <w:szCs w:val="22"/>
          <w:rtl/>
        </w:rPr>
        <w:t xml:space="preserve"> (ארצי ) 61084-05-18 </w:t>
      </w:r>
      <w:r w:rsidRPr="00D619DC">
        <w:rPr>
          <w:b/>
          <w:bCs/>
          <w:sz w:val="22"/>
          <w:szCs w:val="22"/>
          <w:rtl/>
        </w:rPr>
        <w:t>דורון דניאלי נ' י. שבי שיווק מזון בע"מ</w:t>
      </w:r>
      <w:r w:rsidRPr="00D619DC">
        <w:rPr>
          <w:sz w:val="22"/>
          <w:szCs w:val="22"/>
          <w:rtl/>
        </w:rPr>
        <w:t xml:space="preserve"> (פורסם בנבו, 06.06.2018)</w:t>
      </w:r>
      <w:r w:rsidRPr="00D619DC">
        <w:rPr>
          <w:rFonts w:hint="cs"/>
          <w:sz w:val="22"/>
          <w:szCs w:val="22"/>
          <w:rtl/>
        </w:rPr>
        <w:t xml:space="preserve">. לפני: השופטת חני אופק </w:t>
      </w:r>
      <w:proofErr w:type="spellStart"/>
      <w:r w:rsidRPr="00D619DC">
        <w:rPr>
          <w:rFonts w:hint="cs"/>
          <w:sz w:val="22"/>
          <w:szCs w:val="22"/>
          <w:rtl/>
        </w:rPr>
        <w:t>גנדלר</w:t>
      </w:r>
      <w:proofErr w:type="spellEnd"/>
      <w:r w:rsidRPr="00D619DC">
        <w:rPr>
          <w:rFonts w:hint="cs"/>
          <w:sz w:val="22"/>
          <w:szCs w:val="22"/>
          <w:rtl/>
        </w:rPr>
        <w:t>.</w:t>
      </w:r>
    </w:p>
    <w:p w:rsidR="00EB7EE2" w:rsidRPr="00D619DC" w:rsidRDefault="00EB7EE2" w:rsidP="00EB7EE2">
      <w:pPr>
        <w:tabs>
          <w:tab w:val="clear" w:pos="0"/>
          <w:tab w:val="left" w:pos="117"/>
        </w:tabs>
        <w:spacing w:before="240" w:line="360" w:lineRule="auto"/>
        <w:ind w:left="0" w:firstLine="0"/>
        <w:rPr>
          <w:rFonts w:ascii="Arial" w:hAnsi="Arial"/>
          <w:rtl/>
        </w:rPr>
      </w:pPr>
    </w:p>
    <w:p w:rsidR="00EB7EE2" w:rsidRPr="00DB7CFA" w:rsidRDefault="00EB7EE2" w:rsidP="00EB7EE2">
      <w:pPr>
        <w:tabs>
          <w:tab w:val="clear" w:pos="0"/>
          <w:tab w:val="left" w:pos="-110"/>
        </w:tabs>
        <w:ind w:left="-151" w:hanging="139"/>
        <w:rPr>
          <w:rFonts w:ascii="Arial" w:eastAsia="Times New Roman" w:hAnsi="Arial"/>
          <w:b/>
          <w:bCs/>
          <w:sz w:val="32"/>
          <w:szCs w:val="36"/>
          <w:u w:val="single"/>
          <w:rtl/>
        </w:rPr>
      </w:pPr>
    </w:p>
    <w:p w:rsidR="00EB7EE2" w:rsidRDefault="00EB7EE2" w:rsidP="00EB7EE2">
      <w:pPr>
        <w:tabs>
          <w:tab w:val="clear" w:pos="0"/>
          <w:tab w:val="left" w:pos="-308"/>
        </w:tabs>
        <w:spacing w:before="120" w:after="120" w:line="360" w:lineRule="auto"/>
        <w:ind w:left="139" w:hanging="139"/>
        <w:jc w:val="left"/>
        <w:rPr>
          <w:rFonts w:ascii="Arial" w:eastAsia="Times New Roman" w:hAnsi="Arial"/>
          <w:b/>
          <w:bCs/>
          <w:sz w:val="32"/>
          <w:szCs w:val="36"/>
          <w:u w:val="single"/>
          <w:rtl/>
        </w:rPr>
      </w:pPr>
      <w:r>
        <w:rPr>
          <w:rFonts w:ascii="Arial" w:eastAsia="Times New Roman" w:hAnsi="Arial" w:hint="cs"/>
          <w:b/>
          <w:bCs/>
          <w:sz w:val="32"/>
          <w:szCs w:val="36"/>
          <w:u w:val="single"/>
          <w:rtl/>
        </w:rPr>
        <w:t>בית הדין האזורי לעבודה</w:t>
      </w:r>
    </w:p>
    <w:p w:rsidR="00EB7EE2" w:rsidRPr="00DD1086" w:rsidRDefault="00EB7EE2" w:rsidP="00EB7EE2">
      <w:pPr>
        <w:tabs>
          <w:tab w:val="clear" w:pos="0"/>
          <w:tab w:val="left" w:pos="-308"/>
        </w:tabs>
        <w:spacing w:before="120" w:after="120" w:line="360" w:lineRule="auto"/>
        <w:ind w:left="139" w:hanging="139"/>
        <w:jc w:val="left"/>
        <w:rPr>
          <w:rFonts w:ascii="Arial" w:eastAsia="Times New Roman" w:hAnsi="Arial" w:hint="cs"/>
          <w:b/>
          <w:bCs/>
          <w:sz w:val="32"/>
          <w:szCs w:val="36"/>
          <w:u w:val="single"/>
          <w:rtl/>
        </w:rPr>
      </w:pPr>
    </w:p>
    <w:p w:rsidR="00EB7EE2" w:rsidRDefault="00EB7EE2" w:rsidP="00EB7EE2">
      <w:pPr>
        <w:tabs>
          <w:tab w:val="clear" w:pos="0"/>
          <w:tab w:val="left" w:pos="117"/>
        </w:tabs>
        <w:spacing w:before="120" w:after="240" w:line="360" w:lineRule="auto"/>
        <w:ind w:left="0" w:firstLine="0"/>
        <w:rPr>
          <w:rFonts w:ascii="Arial" w:hAnsi="Arial"/>
          <w:b/>
          <w:bCs/>
          <w:color w:val="0000FF"/>
          <w:sz w:val="32"/>
          <w:szCs w:val="32"/>
          <w:u w:val="single"/>
          <w:rtl/>
        </w:rPr>
      </w:pPr>
      <w:r>
        <w:rPr>
          <w:rFonts w:ascii="Arial" w:hAnsi="Arial" w:hint="cs"/>
          <w:b/>
          <w:bCs/>
          <w:color w:val="0000FF"/>
          <w:sz w:val="32"/>
          <w:szCs w:val="32"/>
          <w:u w:val="single"/>
          <w:rtl/>
        </w:rPr>
        <w:t xml:space="preserve">עובד מחשב, שעסק בהקלדה מרובה ולוחצת, זכה למינוי מומחה רפואי שיבחן אם נפגע ב"מחלת המקצוע". </w:t>
      </w:r>
    </w:p>
    <w:p w:rsidR="00EB7EE2" w:rsidRPr="00BC3465" w:rsidRDefault="00EB7EE2" w:rsidP="00EB7EE2">
      <w:pPr>
        <w:tabs>
          <w:tab w:val="clear" w:pos="0"/>
          <w:tab w:val="left" w:pos="117"/>
        </w:tabs>
        <w:spacing w:before="120" w:after="240" w:line="360" w:lineRule="auto"/>
        <w:ind w:left="0" w:firstLine="0"/>
        <w:rPr>
          <w:rFonts w:hint="cs"/>
          <w:b/>
          <w:bCs/>
          <w:sz w:val="28"/>
          <w:szCs w:val="28"/>
          <w:rtl/>
        </w:rPr>
      </w:pPr>
      <w:r>
        <w:rPr>
          <w:rFonts w:hint="cs"/>
          <w:b/>
          <w:bCs/>
          <w:sz w:val="28"/>
          <w:szCs w:val="28"/>
          <w:rtl/>
        </w:rPr>
        <w:t xml:space="preserve">התובע, לאחר החלטת הביטוח הלאומי שלא להכיר בכאביו ביד כ"מחלת המקצוע" הגיש תביעה להכרתו כ"נפגע עבודה" בבית הדין האזורי לעבודה. התובע, כבן 50 עבד בחברת חשמל כהנדסאי חשמל בהכשרתו. במסגרת עבודתו, היה עליו להקליד נתונים שונים במשך זמן רב. עבודת ההקלדה היוותה כ 90% אחוז מזמן העבודה, עבודה אשר בעבר הייתה מחולקת בין שלושה עובדים שונים כאשר התובע ביניהם. עבודת ההקלדה נעשתה מתוך כפיפות למסגרת זמנים לוחצת להספיק להקליד הוראות עבודה רבות כדי לא לגרום לעיכובים בשטח. ביה"ד קבע כי, עבודת התובע הייתה כרוכה בתנועות חוזרות </w:t>
      </w:r>
      <w:proofErr w:type="spellStart"/>
      <w:r>
        <w:rPr>
          <w:rFonts w:hint="cs"/>
          <w:b/>
          <w:bCs/>
          <w:sz w:val="28"/>
          <w:szCs w:val="28"/>
          <w:rtl/>
        </w:rPr>
        <w:t>ונישנות</w:t>
      </w:r>
      <w:proofErr w:type="spellEnd"/>
      <w:r>
        <w:rPr>
          <w:rFonts w:hint="cs"/>
          <w:b/>
          <w:bCs/>
          <w:sz w:val="28"/>
          <w:szCs w:val="28"/>
          <w:rtl/>
        </w:rPr>
        <w:t xml:space="preserve"> של שורש כף היד וכי התובע נפגע ב"מחלת המקצוע".</w:t>
      </w:r>
      <w:r w:rsidRPr="006B4366">
        <w:rPr>
          <w:b/>
          <w:bCs/>
          <w:sz w:val="28"/>
          <w:szCs w:val="28"/>
          <w:rtl/>
        </w:rPr>
        <w:t xml:space="preserve"> </w:t>
      </w:r>
      <w:r>
        <w:rPr>
          <w:b/>
          <w:bCs/>
          <w:sz w:val="28"/>
          <w:szCs w:val="28"/>
          <w:rtl/>
        </w:rPr>
        <w:t>אשר על כן</w:t>
      </w:r>
      <w:r>
        <w:rPr>
          <w:rFonts w:hint="cs"/>
          <w:b/>
          <w:bCs/>
          <w:sz w:val="28"/>
          <w:szCs w:val="28"/>
          <w:rtl/>
        </w:rPr>
        <w:t>, אישר</w:t>
      </w:r>
      <w:r w:rsidRPr="006B4366">
        <w:rPr>
          <w:b/>
          <w:bCs/>
          <w:sz w:val="28"/>
          <w:szCs w:val="28"/>
          <w:rtl/>
        </w:rPr>
        <w:t xml:space="preserve"> בית הדין להורות על מינוי מומחה רפואי לבחינת הקשר הסיבתי בין תנאי עבודתו לבין הפגימה בשורשי כפות ידיו</w:t>
      </w:r>
      <w:r w:rsidRPr="006B4366">
        <w:rPr>
          <w:b/>
          <w:bCs/>
          <w:sz w:val="28"/>
          <w:szCs w:val="28"/>
        </w:rPr>
        <w:t>.</w:t>
      </w:r>
    </w:p>
    <w:p w:rsidR="00EB7EE2" w:rsidRPr="00E81965" w:rsidRDefault="00EB7EE2" w:rsidP="00EB7EE2">
      <w:pPr>
        <w:tabs>
          <w:tab w:val="clear" w:pos="0"/>
        </w:tabs>
        <w:ind w:left="0" w:firstLine="0"/>
        <w:rPr>
          <w:sz w:val="22"/>
          <w:szCs w:val="22"/>
        </w:rPr>
      </w:pPr>
      <w:r>
        <w:rPr>
          <w:rtl/>
        </w:rPr>
        <w:br/>
      </w:r>
      <w:proofErr w:type="spellStart"/>
      <w:r>
        <w:rPr>
          <w:rFonts w:hint="cs"/>
          <w:sz w:val="22"/>
          <w:szCs w:val="22"/>
          <w:rtl/>
        </w:rPr>
        <w:t>ב"ל</w:t>
      </w:r>
      <w:proofErr w:type="spellEnd"/>
      <w:r>
        <w:rPr>
          <w:rFonts w:hint="cs"/>
          <w:sz w:val="22"/>
          <w:szCs w:val="22"/>
          <w:rtl/>
        </w:rPr>
        <w:t xml:space="preserve"> (אזורי) 6991-12-15 </w:t>
      </w:r>
      <w:r w:rsidRPr="006B4366">
        <w:rPr>
          <w:rFonts w:hint="cs"/>
          <w:b/>
          <w:bCs/>
          <w:sz w:val="22"/>
          <w:szCs w:val="22"/>
          <w:rtl/>
        </w:rPr>
        <w:t>פרידמן נ המוסד לביטוח לאומי</w:t>
      </w:r>
      <w:r>
        <w:rPr>
          <w:rFonts w:hint="cs"/>
          <w:sz w:val="22"/>
          <w:szCs w:val="22"/>
          <w:rtl/>
        </w:rPr>
        <w:t xml:space="preserve"> (17.1.18 לא פורסם) לפני: השופט  דניאל  גולדברג.</w:t>
      </w:r>
    </w:p>
    <w:p w:rsidR="00EB7EE2" w:rsidRPr="00E81965" w:rsidRDefault="00EB7EE2" w:rsidP="00EB7EE2">
      <w:pPr>
        <w:tabs>
          <w:tab w:val="clear" w:pos="0"/>
        </w:tabs>
        <w:ind w:left="0" w:firstLine="0"/>
        <w:jc w:val="left"/>
        <w:rPr>
          <w:sz w:val="22"/>
          <w:szCs w:val="22"/>
        </w:rPr>
      </w:pPr>
    </w:p>
    <w:p w:rsidR="00EB7EE2" w:rsidRPr="00E81965" w:rsidRDefault="00EB7EE2" w:rsidP="00EB7EE2">
      <w:pPr>
        <w:rPr>
          <w:sz w:val="22"/>
          <w:szCs w:val="22"/>
          <w:rtl/>
        </w:rPr>
      </w:pPr>
      <w:r>
        <w:rPr>
          <w:rFonts w:hint="cs"/>
          <w:sz w:val="22"/>
          <w:szCs w:val="22"/>
          <w:rtl/>
        </w:rPr>
        <w:t xml:space="preserve">  </w:t>
      </w:r>
    </w:p>
    <w:p w:rsidR="00EB7EE2" w:rsidRPr="00AF57A4" w:rsidRDefault="00EB7EE2" w:rsidP="00EB7EE2">
      <w:pPr>
        <w:rPr>
          <w:sz w:val="22"/>
          <w:szCs w:val="22"/>
          <w:rtl/>
        </w:rPr>
      </w:pPr>
    </w:p>
    <w:p w:rsidR="00EB7EE2" w:rsidRDefault="00EB7EE2" w:rsidP="00EB7EE2">
      <w:pPr>
        <w:tabs>
          <w:tab w:val="clear" w:pos="0"/>
          <w:tab w:val="left" w:pos="-290"/>
        </w:tabs>
        <w:spacing w:line="360" w:lineRule="auto"/>
        <w:rPr>
          <w:sz w:val="20"/>
          <w:szCs w:val="20"/>
          <w:rtl/>
        </w:rPr>
      </w:pPr>
    </w:p>
    <w:p w:rsidR="00EB7EE2" w:rsidRDefault="00EB7EE2" w:rsidP="00EB7EE2">
      <w:pPr>
        <w:tabs>
          <w:tab w:val="clear" w:pos="0"/>
          <w:tab w:val="left" w:pos="-290"/>
        </w:tabs>
        <w:spacing w:line="360" w:lineRule="auto"/>
        <w:rPr>
          <w:sz w:val="20"/>
          <w:szCs w:val="20"/>
          <w:rtl/>
        </w:rPr>
      </w:pPr>
    </w:p>
    <w:p w:rsidR="00EB7EE2" w:rsidRPr="00006ECE" w:rsidRDefault="00EB7EE2" w:rsidP="00EB7EE2">
      <w:pPr>
        <w:tabs>
          <w:tab w:val="clear" w:pos="0"/>
          <w:tab w:val="left" w:pos="-290"/>
        </w:tabs>
        <w:spacing w:line="360" w:lineRule="auto"/>
        <w:rPr>
          <w:rFonts w:hint="cs"/>
          <w:sz w:val="20"/>
          <w:szCs w:val="20"/>
          <w:rtl/>
        </w:rPr>
      </w:pPr>
    </w:p>
    <w:p w:rsidR="00EB7EE2" w:rsidRPr="00C223AC" w:rsidRDefault="00EB7EE2" w:rsidP="00EB7EE2">
      <w:pPr>
        <w:spacing w:line="360" w:lineRule="auto"/>
        <w:ind w:left="51" w:right="-284" w:firstLine="0"/>
        <w:rPr>
          <w:sz w:val="20"/>
          <w:szCs w:val="20"/>
          <w:rtl/>
        </w:rPr>
      </w:pPr>
    </w:p>
    <w:p w:rsidR="00EB7EE2" w:rsidRPr="00532DAF" w:rsidRDefault="00EB7EE2" w:rsidP="00EB7EE2">
      <w:pPr>
        <w:pBdr>
          <w:top w:val="single" w:sz="4" w:space="2" w:color="333333"/>
          <w:left w:val="single" w:sz="4" w:space="0" w:color="333333"/>
          <w:bottom w:val="single" w:sz="4" w:space="0" w:color="333333"/>
          <w:right w:val="single" w:sz="4" w:space="0" w:color="333333"/>
        </w:pBdr>
        <w:shd w:val="clear" w:color="auto" w:fill="8C8C8C"/>
        <w:tabs>
          <w:tab w:val="left" w:pos="1416"/>
          <w:tab w:val="right" w:pos="10205"/>
        </w:tabs>
        <w:ind w:right="-180" w:hanging="687"/>
        <w:jc w:val="center"/>
        <w:outlineLvl w:val="0"/>
        <w:rPr>
          <w:rFonts w:hint="cs"/>
          <w:b/>
          <w:bCs/>
          <w:color w:val="FFFFFF"/>
          <w:szCs w:val="28"/>
          <w:rtl/>
        </w:rPr>
      </w:pPr>
      <w:r w:rsidRPr="00532DAF">
        <w:rPr>
          <w:rFonts w:hint="cs"/>
          <w:b/>
          <w:bCs/>
          <w:color w:val="FFFFFF"/>
          <w:sz w:val="32"/>
          <w:szCs w:val="28"/>
          <w:rtl/>
        </w:rPr>
        <w:t>לפס</w:t>
      </w:r>
      <w:r w:rsidRPr="00532DAF">
        <w:rPr>
          <w:b/>
          <w:bCs/>
          <w:color w:val="FFFFFF"/>
          <w:sz w:val="32"/>
          <w:szCs w:val="28"/>
          <w:rtl/>
        </w:rPr>
        <w:t>יקה המלאה ניתן לפנות לאתר</w:t>
      </w:r>
      <w:hyperlink r:id="rId8" w:history="1">
        <w:r w:rsidRPr="00532DAF">
          <w:rPr>
            <w:rStyle w:val="Hyperlink"/>
            <w:b/>
            <w:bCs/>
            <w:color w:val="FFFFFF"/>
            <w:sz w:val="32"/>
            <w:szCs w:val="28"/>
            <w:rtl/>
          </w:rPr>
          <w:t xml:space="preserve"> </w:t>
        </w:r>
        <w:r w:rsidRPr="00532DAF">
          <w:rPr>
            <w:rStyle w:val="Hyperlink"/>
            <w:b/>
            <w:bCs/>
            <w:color w:val="FFFFFF"/>
            <w:sz w:val="28"/>
            <w:szCs w:val="28"/>
          </w:rPr>
          <w:t>www.nevo.co.il</w:t>
        </w:r>
      </w:hyperlink>
      <w:r w:rsidRPr="00532DAF">
        <w:rPr>
          <w:b/>
          <w:bCs/>
          <w:color w:val="FFFFFF"/>
          <w:sz w:val="32"/>
          <w:szCs w:val="28"/>
          <w:rtl/>
        </w:rPr>
        <w:t xml:space="preserve"> או </w:t>
      </w:r>
      <w:r w:rsidRPr="00532DAF">
        <w:rPr>
          <w:b/>
          <w:bCs/>
          <w:color w:val="FFFFFF"/>
          <w:sz w:val="28"/>
          <w:szCs w:val="28"/>
          <w:rtl/>
        </w:rPr>
        <w:t xml:space="preserve">לאתר </w:t>
      </w:r>
      <w:hyperlink r:id="rId9" w:history="1">
        <w:r w:rsidRPr="00532DAF">
          <w:rPr>
            <w:rStyle w:val="Hyperlink"/>
            <w:b/>
            <w:bCs/>
            <w:color w:val="FFFFFF"/>
            <w:sz w:val="28"/>
            <w:szCs w:val="28"/>
          </w:rPr>
          <w:t>www.court.gov.il</w:t>
        </w:r>
      </w:hyperlink>
    </w:p>
    <w:p w:rsidR="00EB7EE2" w:rsidRPr="00CD13D1" w:rsidRDefault="00EB7EE2" w:rsidP="00EB7EE2">
      <w:pPr>
        <w:tabs>
          <w:tab w:val="clear" w:pos="0"/>
          <w:tab w:val="left" w:pos="90"/>
          <w:tab w:val="left" w:pos="392"/>
        </w:tabs>
        <w:ind w:left="-118" w:right="-180" w:firstLine="0"/>
        <w:rPr>
          <w:rFonts w:ascii="David" w:hAnsi="David" w:hint="cs"/>
          <w:sz w:val="22"/>
          <w:szCs w:val="22"/>
          <w:rtl/>
        </w:rPr>
      </w:pPr>
      <w:r w:rsidRPr="00CD13D1">
        <w:rPr>
          <w:noProof/>
        </w:rPr>
        <w:drawing>
          <wp:anchor distT="0" distB="0" distL="114300" distR="114300" simplePos="0" relativeHeight="251662336" behindDoc="0" locked="0" layoutInCell="1" allowOverlap="1">
            <wp:simplePos x="0" y="0"/>
            <wp:positionH relativeFrom="column">
              <wp:posOffset>1257300</wp:posOffset>
            </wp:positionH>
            <wp:positionV relativeFrom="paragraph">
              <wp:posOffset>103505</wp:posOffset>
            </wp:positionV>
            <wp:extent cx="3312160" cy="737235"/>
            <wp:effectExtent l="0" t="0" r="2540" b="5715"/>
            <wp:wrapSquare wrapText="left"/>
            <wp:docPr id="1" name="תמונה 1" descr="תמונה חד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מונה חדש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216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EE2" w:rsidRPr="00CD13D1" w:rsidRDefault="00EB7EE2" w:rsidP="00EB7EE2">
      <w:pPr>
        <w:tabs>
          <w:tab w:val="clear" w:pos="0"/>
          <w:tab w:val="left" w:pos="90"/>
          <w:tab w:val="left" w:pos="392"/>
        </w:tabs>
        <w:ind w:left="-118" w:right="-180" w:firstLine="0"/>
        <w:jc w:val="left"/>
        <w:rPr>
          <w:rFonts w:ascii="David" w:hAnsi="David" w:hint="cs"/>
          <w:sz w:val="22"/>
          <w:szCs w:val="22"/>
          <w:rtl/>
        </w:rPr>
      </w:pPr>
      <w:r w:rsidRPr="00CD13D1">
        <w:rPr>
          <w:rFonts w:ascii="David" w:hAnsi="David"/>
          <w:sz w:val="22"/>
          <w:szCs w:val="22"/>
          <w:rtl/>
        </w:rPr>
        <w:br w:type="textWrapping" w:clear="all"/>
      </w:r>
    </w:p>
    <w:p w:rsidR="00EB7EE2" w:rsidRPr="00532DAF" w:rsidRDefault="00EB7EE2" w:rsidP="00EB7EE2">
      <w:pPr>
        <w:pBdr>
          <w:top w:val="single" w:sz="4" w:space="2" w:color="333333"/>
          <w:left w:val="single" w:sz="4" w:space="0" w:color="333333"/>
          <w:bottom w:val="single" w:sz="4" w:space="0" w:color="333333"/>
          <w:right w:val="single" w:sz="4" w:space="0" w:color="333333"/>
        </w:pBdr>
        <w:shd w:val="clear" w:color="auto" w:fill="999999"/>
        <w:tabs>
          <w:tab w:val="left" w:pos="1416"/>
          <w:tab w:val="right" w:pos="10205"/>
        </w:tabs>
        <w:ind w:right="-180" w:hanging="687"/>
        <w:jc w:val="center"/>
        <w:outlineLvl w:val="0"/>
        <w:rPr>
          <w:rFonts w:hint="cs"/>
          <w:b/>
          <w:bCs/>
          <w:color w:val="FFFFFF"/>
          <w:szCs w:val="28"/>
        </w:rPr>
      </w:pPr>
      <w:hyperlink r:id="rId11" w:history="1">
        <w:r w:rsidRPr="00532DAF">
          <w:rPr>
            <w:rStyle w:val="Hyperlink"/>
            <w:rFonts w:hint="cs"/>
            <w:b/>
            <w:bCs/>
            <w:color w:val="FFFFFF"/>
            <w:szCs w:val="28"/>
            <w:rtl/>
          </w:rPr>
          <w:t>לחץ כאן</w:t>
        </w:r>
      </w:hyperlink>
      <w:r w:rsidRPr="00532DAF">
        <w:rPr>
          <w:rFonts w:hint="cs"/>
          <w:b/>
          <w:bCs/>
          <w:color w:val="FFFFFF"/>
          <w:szCs w:val="28"/>
          <w:rtl/>
        </w:rPr>
        <w:t xml:space="preserve"> לצפייה באתר </w:t>
      </w:r>
      <w:proofErr w:type="spellStart"/>
      <w:r w:rsidRPr="00532DAF">
        <w:rPr>
          <w:rFonts w:hint="cs"/>
          <w:b/>
          <w:bCs/>
          <w:color w:val="FFFFFF"/>
          <w:szCs w:val="28"/>
          <w:rtl/>
        </w:rPr>
        <w:t>ברנזון</w:t>
      </w:r>
      <w:proofErr w:type="spellEnd"/>
      <w:r w:rsidRPr="00532DAF">
        <w:rPr>
          <w:rFonts w:hint="cs"/>
          <w:b/>
          <w:bCs/>
          <w:color w:val="FFFFFF"/>
          <w:szCs w:val="28"/>
          <w:rtl/>
        </w:rPr>
        <w:t xml:space="preserve"> החדש ולרישום לקבלת </w:t>
      </w:r>
      <w:proofErr w:type="spellStart"/>
      <w:r w:rsidRPr="00532DAF">
        <w:rPr>
          <w:rFonts w:hint="cs"/>
          <w:b/>
          <w:bCs/>
          <w:color w:val="FFFFFF"/>
          <w:szCs w:val="28"/>
          <w:rtl/>
        </w:rPr>
        <w:t>דיוורים</w:t>
      </w:r>
      <w:proofErr w:type="spellEnd"/>
    </w:p>
    <w:p w:rsidR="00EB7EE2" w:rsidRDefault="00EB7EE2" w:rsidP="00EB7EE2">
      <w:pPr>
        <w:pStyle w:val="1"/>
        <w:ind w:left="-492" w:right="-360" w:firstLine="180"/>
        <w:jc w:val="center"/>
        <w:rPr>
          <w:rFonts w:cs="Hayim" w:hint="cs"/>
          <w:spacing w:val="-5"/>
          <w:sz w:val="28"/>
          <w:szCs w:val="28"/>
          <w:rtl/>
        </w:rPr>
      </w:pPr>
    </w:p>
    <w:p w:rsidR="00EB7EE2" w:rsidRDefault="00EB7EE2" w:rsidP="00EB7EE2">
      <w:pPr>
        <w:pStyle w:val="1"/>
        <w:ind w:left="-492" w:right="-360" w:firstLine="180"/>
        <w:rPr>
          <w:rFonts w:cs="Times New Roman" w:hint="cs"/>
          <w:spacing w:val="-5"/>
          <w:sz w:val="24"/>
          <w:rtl/>
        </w:rPr>
      </w:pPr>
      <w:r w:rsidRPr="00C956D0">
        <w:rPr>
          <w:rFonts w:cs="Times New Roman" w:hint="cs"/>
          <w:spacing w:val="-5"/>
          <w:sz w:val="24"/>
          <w:rtl/>
        </w:rPr>
        <w:t>חיים</w:t>
      </w:r>
      <w:r w:rsidRPr="00C956D0">
        <w:rPr>
          <w:rFonts w:cs="Hayim"/>
          <w:spacing w:val="-5"/>
          <w:sz w:val="24"/>
          <w:rtl/>
        </w:rPr>
        <w:t xml:space="preserve"> </w:t>
      </w:r>
      <w:proofErr w:type="spellStart"/>
      <w:r w:rsidRPr="00C956D0">
        <w:rPr>
          <w:rFonts w:cs="Times New Roman" w:hint="cs"/>
          <w:spacing w:val="-5"/>
          <w:sz w:val="24"/>
          <w:rtl/>
        </w:rPr>
        <w:t>ברנזון</w:t>
      </w:r>
      <w:proofErr w:type="spellEnd"/>
      <w:r w:rsidRPr="00C956D0">
        <w:rPr>
          <w:rFonts w:cs="Hayim"/>
          <w:spacing w:val="-5"/>
          <w:sz w:val="24"/>
          <w:rtl/>
        </w:rPr>
        <w:t>,</w:t>
      </w:r>
      <w:r w:rsidRPr="002D32EA">
        <w:rPr>
          <w:rFonts w:cs="Hayim"/>
          <w:spacing w:val="-5"/>
          <w:sz w:val="24"/>
          <w:rtl/>
        </w:rPr>
        <w:t xml:space="preserve"> </w:t>
      </w:r>
      <w:r w:rsidRPr="00C956D0">
        <w:rPr>
          <w:rFonts w:cs="Times New Roman" w:hint="cs"/>
          <w:spacing w:val="-5"/>
          <w:sz w:val="24"/>
          <w:rtl/>
        </w:rPr>
        <w:t>משרד</w:t>
      </w:r>
      <w:r w:rsidRPr="00C956D0">
        <w:rPr>
          <w:rFonts w:cs="Hayim"/>
          <w:spacing w:val="-5"/>
          <w:sz w:val="24"/>
          <w:rtl/>
        </w:rPr>
        <w:t xml:space="preserve"> </w:t>
      </w:r>
      <w:r w:rsidRPr="00C956D0">
        <w:rPr>
          <w:rFonts w:cs="Times New Roman" w:hint="cs"/>
          <w:spacing w:val="-5"/>
          <w:sz w:val="24"/>
          <w:rtl/>
        </w:rPr>
        <w:t>עורכי</w:t>
      </w:r>
      <w:r w:rsidRPr="00C956D0">
        <w:rPr>
          <w:rFonts w:cs="Hayim"/>
          <w:spacing w:val="-5"/>
          <w:sz w:val="24"/>
          <w:rtl/>
        </w:rPr>
        <w:t xml:space="preserve"> </w:t>
      </w:r>
      <w:r w:rsidRPr="00C956D0">
        <w:rPr>
          <w:rFonts w:cs="Times New Roman" w:hint="cs"/>
          <w:spacing w:val="-5"/>
          <w:sz w:val="24"/>
          <w:rtl/>
        </w:rPr>
        <w:t>דין</w:t>
      </w:r>
      <w:r w:rsidRPr="00C956D0">
        <w:rPr>
          <w:rFonts w:cs="Hayim"/>
          <w:spacing w:val="-5"/>
          <w:sz w:val="24"/>
          <w:rtl/>
        </w:rPr>
        <w:t xml:space="preserve">, </w:t>
      </w:r>
      <w:r w:rsidRPr="00C956D0">
        <w:rPr>
          <w:rFonts w:cs="Times New Roman" w:hint="cs"/>
          <w:spacing w:val="-5"/>
          <w:sz w:val="24"/>
          <w:rtl/>
        </w:rPr>
        <w:t>חבצלת</w:t>
      </w:r>
      <w:r w:rsidRPr="00C956D0">
        <w:rPr>
          <w:rFonts w:cs="Hayim"/>
          <w:spacing w:val="-5"/>
          <w:sz w:val="24"/>
          <w:rtl/>
        </w:rPr>
        <w:t xml:space="preserve"> </w:t>
      </w:r>
      <w:r w:rsidRPr="00C956D0">
        <w:rPr>
          <w:rFonts w:cs="Times New Roman" w:hint="cs"/>
          <w:spacing w:val="-5"/>
          <w:sz w:val="24"/>
          <w:rtl/>
        </w:rPr>
        <w:t>השרון</w:t>
      </w:r>
      <w:r w:rsidRPr="00C956D0">
        <w:rPr>
          <w:rFonts w:cs="Hayim"/>
          <w:spacing w:val="-5"/>
          <w:sz w:val="24"/>
          <w:rtl/>
        </w:rPr>
        <w:t xml:space="preserve"> 60, </w:t>
      </w:r>
      <w:r w:rsidRPr="00C956D0">
        <w:rPr>
          <w:rFonts w:cs="Times New Roman" w:hint="cs"/>
          <w:spacing w:val="-5"/>
          <w:sz w:val="24"/>
          <w:rtl/>
        </w:rPr>
        <w:t>הרצליה</w:t>
      </w:r>
      <w:r w:rsidRPr="00C956D0">
        <w:rPr>
          <w:rFonts w:cs="Hayim"/>
          <w:spacing w:val="-5"/>
          <w:sz w:val="24"/>
          <w:rtl/>
        </w:rPr>
        <w:t xml:space="preserve"> </w:t>
      </w:r>
      <w:r w:rsidRPr="00C956D0">
        <w:rPr>
          <w:rFonts w:cs="Times New Roman" w:hint="cs"/>
          <w:spacing w:val="-5"/>
          <w:sz w:val="24"/>
          <w:rtl/>
        </w:rPr>
        <w:t>פיתוח</w:t>
      </w:r>
      <w:r w:rsidRPr="00C956D0">
        <w:rPr>
          <w:rFonts w:cs="Hayim"/>
          <w:spacing w:val="-5"/>
          <w:sz w:val="24"/>
          <w:rtl/>
        </w:rPr>
        <w:t xml:space="preserve"> 46747</w:t>
      </w:r>
      <w:r w:rsidRPr="000D79FD">
        <w:rPr>
          <w:rFonts w:cs="Hayim" w:hint="cs"/>
          <w:spacing w:val="-5"/>
          <w:sz w:val="24"/>
          <w:rtl/>
        </w:rPr>
        <w:t>20</w:t>
      </w:r>
      <w:r w:rsidRPr="002C4D58">
        <w:rPr>
          <w:rFonts w:cs="Hayim" w:hint="cs"/>
          <w:spacing w:val="-5"/>
          <w:sz w:val="24"/>
          <w:rtl/>
        </w:rPr>
        <w:t>,</w:t>
      </w:r>
      <w:r w:rsidRPr="002D32EA">
        <w:rPr>
          <w:rFonts w:cs="Hayim" w:hint="cs"/>
          <w:spacing w:val="-5"/>
          <w:sz w:val="24"/>
          <w:rtl/>
        </w:rPr>
        <w:t xml:space="preserve"> </w:t>
      </w:r>
      <w:r w:rsidRPr="002D32EA">
        <w:rPr>
          <w:rFonts w:cs="Times New Roman" w:hint="cs"/>
          <w:spacing w:val="-5"/>
          <w:sz w:val="24"/>
          <w:rtl/>
        </w:rPr>
        <w:t>טל</w:t>
      </w:r>
      <w:r w:rsidRPr="002D32EA">
        <w:rPr>
          <w:rFonts w:cs="Hayim" w:hint="cs"/>
          <w:spacing w:val="-5"/>
          <w:sz w:val="24"/>
          <w:rtl/>
        </w:rPr>
        <w:t xml:space="preserve">': 09-9568339, </w:t>
      </w:r>
      <w:r w:rsidRPr="002D32EA">
        <w:rPr>
          <w:rFonts w:cs="Times New Roman" w:hint="cs"/>
          <w:spacing w:val="-5"/>
          <w:sz w:val="24"/>
          <w:rtl/>
        </w:rPr>
        <w:t>פקס</w:t>
      </w:r>
      <w:r w:rsidRPr="002D32EA">
        <w:rPr>
          <w:rFonts w:cs="Hayim" w:hint="cs"/>
          <w:spacing w:val="-5"/>
          <w:sz w:val="24"/>
          <w:rtl/>
        </w:rPr>
        <w:t>: 09-9509129</w:t>
      </w:r>
    </w:p>
    <w:p w:rsidR="00EB7EE2" w:rsidRDefault="00EB7EE2" w:rsidP="00EB7EE2">
      <w:pPr>
        <w:pStyle w:val="1"/>
        <w:ind w:right="-360"/>
        <w:rPr>
          <w:rFonts w:cs="Times New Roman" w:hint="cs"/>
          <w:spacing w:val="-5"/>
          <w:sz w:val="24"/>
          <w:rtl/>
        </w:rPr>
      </w:pPr>
    </w:p>
    <w:p w:rsidR="00195777" w:rsidRDefault="00195777"/>
    <w:sectPr w:rsidR="00195777" w:rsidSect="00C01F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Hayim">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E2"/>
    <w:rsid w:val="00195777"/>
    <w:rsid w:val="00C01F5D"/>
    <w:rsid w:val="00EB7E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3666D9"/>
  <w15:chartTrackingRefBased/>
  <w15:docId w15:val="{3D9A14EF-18DC-4031-BEA4-3632C983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B7EE2"/>
    <w:pPr>
      <w:tabs>
        <w:tab w:val="left" w:pos="0"/>
      </w:tabs>
      <w:bidi/>
      <w:spacing w:after="0" w:line="240" w:lineRule="auto"/>
      <w:ind w:left="397" w:hanging="397"/>
      <w:jc w:val="both"/>
    </w:pPr>
    <w:rPr>
      <w:rFonts w:ascii="Times New Roman" w:eastAsia="Calibri"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EB7EE2"/>
    <w:rPr>
      <w:rFonts w:cs="Miriam"/>
      <w:color w:val="0000FF"/>
      <w:u w:val="single"/>
      <w:lang w:bidi="he-IL"/>
    </w:rPr>
  </w:style>
  <w:style w:type="paragraph" w:styleId="a3">
    <w:name w:val="header"/>
    <w:basedOn w:val="a"/>
    <w:link w:val="a4"/>
    <w:rsid w:val="00EB7EE2"/>
    <w:pPr>
      <w:tabs>
        <w:tab w:val="clear" w:pos="0"/>
        <w:tab w:val="center" w:pos="4153"/>
        <w:tab w:val="right" w:pos="8306"/>
      </w:tabs>
      <w:ind w:left="0" w:firstLine="0"/>
      <w:jc w:val="left"/>
    </w:pPr>
    <w:rPr>
      <w:rFonts w:eastAsia="Times New Roman"/>
      <w:noProof/>
    </w:rPr>
  </w:style>
  <w:style w:type="character" w:customStyle="1" w:styleId="a4">
    <w:name w:val="כותרת עליונה תו"/>
    <w:basedOn w:val="a0"/>
    <w:link w:val="a3"/>
    <w:rsid w:val="00EB7EE2"/>
    <w:rPr>
      <w:rFonts w:ascii="Times New Roman" w:eastAsia="Times New Roman" w:hAnsi="Times New Roman" w:cs="David"/>
      <w:noProof/>
      <w:sz w:val="24"/>
      <w:szCs w:val="24"/>
    </w:rPr>
  </w:style>
  <w:style w:type="paragraph" w:customStyle="1" w:styleId="1">
    <w:name w:val="רגיל1"/>
    <w:rsid w:val="00EB7EE2"/>
    <w:pPr>
      <w:bidi/>
      <w:snapToGrid w:val="0"/>
      <w:spacing w:after="0" w:line="240" w:lineRule="auto"/>
    </w:pPr>
    <w:rPr>
      <w:rFonts w:ascii="Times New Roman" w:eastAsia="Times New Roman" w:hAnsi="Times New Roman" w:cs="Davi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images.webydo.com/12/123940/3958/%D7%9C%D7%95%D7%92%D7%95-%D7%A0%D7%92%D7%98%D7%99%D7%91.png?v=44624101212" TargetMode="External"/><Relationship Id="rId11" Type="http://schemas.openxmlformats.org/officeDocument/2006/relationships/hyperlink" Target="http://bernzon.kidumnet.co.il/contact_rtl.html?v=44624101212" TargetMode="External"/><Relationship Id="rId5" Type="http://schemas.openxmlformats.org/officeDocument/2006/relationships/image" Target="media/image2.pn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file:///C:\Users\Noa\AppData\Local\Microsoft\Windows\Documents%20and%20Settings\noa\My%20Documents\noa\Local%20Settings\Temporary%20Internet%20Files\Local%20Settings\Temporary%20Internet%20Files\Local%20Settings\Temporary%20Internet%20Files\My%20Documents\Downloads\www.cour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2468</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 Lerner</dc:creator>
  <cp:keywords/>
  <dc:description/>
  <cp:lastModifiedBy>Ayelet Lerner</cp:lastModifiedBy>
  <cp:revision>1</cp:revision>
  <dcterms:created xsi:type="dcterms:W3CDTF">2018-08-30T07:04:00Z</dcterms:created>
  <dcterms:modified xsi:type="dcterms:W3CDTF">2018-08-30T07:09:00Z</dcterms:modified>
</cp:coreProperties>
</file>