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5C" w:rsidRDefault="0077405C" w:rsidP="0077405C">
      <w:pPr>
        <w:pStyle w:val="a3"/>
        <w:rPr>
          <w:b/>
          <w:bCs/>
          <w:szCs w:val="28"/>
        </w:rPr>
      </w:pPr>
      <w:r>
        <w:drawing>
          <wp:anchor distT="0" distB="0" distL="114300" distR="114300" simplePos="0" relativeHeight="25166028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תמונה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תמונה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ydo.com/12/123940/3958/%D7%9C%D7%95%D7%92%D7%95-%D7%A0%D7%92%D7%98%D7%99%D7%91.png?v=44624101212"/>
                    <pic:cNvPicPr>
                      <a:picLocks noChangeAspect="1" noChangeArrowheads="1"/>
                    </pic:cNvPicPr>
                  </pic:nvPicPr>
                  <pic:blipFill>
                    <a:blip r:embed="rId7" r:link="rId8">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pic:spPr>
                </pic:pic>
              </a:graphicData>
            </a:graphic>
            <wp14:sizeRelH relativeFrom="page">
              <wp14:pctWidth>0</wp14:pctWidth>
            </wp14:sizeRelH>
            <wp14:sizeRelV relativeFrom="page">
              <wp14:pctHeight>0</wp14:pctHeight>
            </wp14:sizeRelV>
          </wp:anchor>
        </w:drawing>
      </w:r>
      <w:r>
        <w:rPr>
          <w:rFonts w:hint="cs"/>
          <w:b/>
          <w:bCs/>
          <w:szCs w:val="28"/>
          <w:rtl/>
        </w:rPr>
        <w:t xml:space="preserve">                                                                                             </w:t>
      </w:r>
    </w:p>
    <w:p w:rsidR="0077405C" w:rsidRDefault="0077405C" w:rsidP="0077405C">
      <w:pPr>
        <w:pStyle w:val="a3"/>
        <w:jc w:val="center"/>
        <w:rPr>
          <w:b/>
          <w:bCs/>
          <w:color w:val="333333"/>
          <w:szCs w:val="28"/>
          <w:rtl/>
        </w:rPr>
      </w:pPr>
      <w:r>
        <w:rPr>
          <w:rFonts w:hint="cs"/>
          <w:b/>
          <w:bCs/>
          <w:color w:val="333333"/>
          <w:szCs w:val="28"/>
          <w:rtl/>
        </w:rPr>
        <w:t xml:space="preserve">                                                                                                      משרד בוטיק בדיני עבודה</w:t>
      </w:r>
    </w:p>
    <w:p w:rsidR="0077405C" w:rsidRDefault="0077405C" w:rsidP="0077405C">
      <w:pPr>
        <w:pStyle w:val="a3"/>
        <w:rPr>
          <w:rtl/>
        </w:rPr>
      </w:pPr>
    </w:p>
    <w:p w:rsidR="0077405C" w:rsidRDefault="0077405C" w:rsidP="0077405C">
      <w:pPr>
        <w:pStyle w:val="a3"/>
        <w:rPr>
          <w:rtl/>
        </w:rPr>
      </w:pPr>
    </w:p>
    <w:p w:rsidR="0077405C" w:rsidRDefault="0077405C" w:rsidP="0077405C">
      <w:pPr>
        <w:pStyle w:val="a3"/>
        <w:rPr>
          <w:rtl/>
        </w:rPr>
      </w:pPr>
    </w:p>
    <w:p w:rsidR="0077405C" w:rsidRDefault="0077405C" w:rsidP="007A70C4">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left="507" w:right="-290" w:hanging="687"/>
        <w:jc w:val="center"/>
        <w:outlineLvl w:val="0"/>
        <w:rPr>
          <w:b/>
          <w:bCs/>
          <w:color w:val="000080"/>
          <w:sz w:val="32"/>
          <w:szCs w:val="32"/>
          <w:rtl/>
        </w:rPr>
      </w:pPr>
      <w:r>
        <w:rPr>
          <w:rFonts w:hint="cs"/>
          <w:b/>
          <w:bCs/>
          <w:color w:val="000080"/>
          <w:sz w:val="32"/>
          <w:szCs w:val="32"/>
          <w:rtl/>
        </w:rPr>
        <w:t xml:space="preserve">עדכון פסיקה שבועי מס' </w:t>
      </w:r>
      <w:r w:rsidR="007A70C4">
        <w:rPr>
          <w:rFonts w:hint="cs"/>
          <w:b/>
          <w:bCs/>
          <w:color w:val="000080"/>
          <w:sz w:val="32"/>
          <w:szCs w:val="32"/>
          <w:rtl/>
        </w:rPr>
        <w:t>557</w:t>
      </w:r>
      <w:r>
        <w:rPr>
          <w:rFonts w:hint="cs"/>
          <w:b/>
          <w:bCs/>
          <w:color w:val="000080"/>
          <w:sz w:val="32"/>
          <w:szCs w:val="32"/>
          <w:rtl/>
        </w:rPr>
        <w:t xml:space="preserve"> – </w:t>
      </w:r>
      <w:r w:rsidR="007A70C4">
        <w:rPr>
          <w:rFonts w:hint="cs"/>
          <w:b/>
          <w:bCs/>
          <w:color w:val="000080"/>
          <w:sz w:val="32"/>
          <w:szCs w:val="32"/>
          <w:rtl/>
        </w:rPr>
        <w:t>30</w:t>
      </w:r>
      <w:r>
        <w:rPr>
          <w:rFonts w:hint="cs"/>
          <w:b/>
          <w:bCs/>
          <w:color w:val="000080"/>
          <w:sz w:val="32"/>
          <w:szCs w:val="32"/>
          <w:rtl/>
        </w:rPr>
        <w:t>.8.15</w:t>
      </w:r>
    </w:p>
    <w:p w:rsidR="0077405C" w:rsidRDefault="0077405C" w:rsidP="0077405C">
      <w:pPr>
        <w:tabs>
          <w:tab w:val="clear" w:pos="0"/>
          <w:tab w:val="left" w:pos="-110"/>
        </w:tabs>
        <w:rPr>
          <w:rFonts w:ascii="Arial" w:eastAsia="Times New Roman" w:hAnsi="Arial"/>
          <w:b/>
          <w:bCs/>
          <w:color w:val="FFFFFF"/>
          <w:sz w:val="32"/>
          <w:szCs w:val="36"/>
          <w:u w:val="single"/>
          <w:rtl/>
        </w:rPr>
      </w:pPr>
      <w:r>
        <w:rPr>
          <w:rFonts w:hint="cs"/>
          <w:noProof/>
          <w:rtl/>
        </w:rPr>
        <w:drawing>
          <wp:anchor distT="0" distB="0" distL="114300" distR="114300" simplePos="0" relativeHeight="25166131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2" name="תמונה 2"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strip"/>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pic:spPr>
                </pic:pic>
              </a:graphicData>
            </a:graphic>
            <wp14:sizeRelH relativeFrom="page">
              <wp14:pctWidth>0</wp14:pctWidth>
            </wp14:sizeRelH>
            <wp14:sizeRelV relativeFrom="page">
              <wp14:pctHeight>0</wp14:pctHeight>
            </wp14:sizeRelV>
          </wp:anchor>
        </w:drawing>
      </w:r>
    </w:p>
    <w:p w:rsidR="0077405C" w:rsidRDefault="0077405C" w:rsidP="0077405C">
      <w:pPr>
        <w:tabs>
          <w:tab w:val="clear" w:pos="0"/>
          <w:tab w:val="left" w:pos="-110"/>
        </w:tabs>
        <w:ind w:left="-151" w:hanging="139"/>
        <w:rPr>
          <w:rFonts w:ascii="Arial" w:eastAsia="Times New Roman" w:hAnsi="Arial"/>
          <w:b/>
          <w:bCs/>
          <w:color w:val="FFFFFF"/>
          <w:sz w:val="32"/>
          <w:szCs w:val="36"/>
          <w:u w:val="single"/>
        </w:rPr>
      </w:pPr>
    </w:p>
    <w:p w:rsidR="0077405C" w:rsidRDefault="0077405C" w:rsidP="0077405C">
      <w:pPr>
        <w:tabs>
          <w:tab w:val="clear" w:pos="0"/>
          <w:tab w:val="left" w:pos="-110"/>
        </w:tabs>
        <w:ind w:left="-151" w:hanging="139"/>
        <w:rPr>
          <w:rFonts w:ascii="Arial" w:eastAsia="Times New Roman" w:hAnsi="Arial"/>
          <w:b/>
          <w:bCs/>
          <w:color w:val="FFFFFF"/>
          <w:sz w:val="32"/>
          <w:szCs w:val="36"/>
          <w:u w:val="single"/>
        </w:rPr>
      </w:pPr>
    </w:p>
    <w:p w:rsidR="0077405C" w:rsidRDefault="0077405C" w:rsidP="0077405C">
      <w:pPr>
        <w:tabs>
          <w:tab w:val="clear" w:pos="0"/>
          <w:tab w:val="left" w:pos="-110"/>
        </w:tabs>
        <w:ind w:left="-151" w:hanging="139"/>
        <w:rPr>
          <w:rFonts w:ascii="Arial" w:eastAsia="Times New Roman" w:hAnsi="Arial"/>
          <w:b/>
          <w:bCs/>
          <w:color w:val="FFFFFF"/>
          <w:sz w:val="32"/>
          <w:szCs w:val="36"/>
          <w:u w:val="single"/>
        </w:rPr>
      </w:pPr>
    </w:p>
    <w:p w:rsidR="0077405C" w:rsidRDefault="0077405C" w:rsidP="0077405C">
      <w:pPr>
        <w:tabs>
          <w:tab w:val="clear" w:pos="0"/>
          <w:tab w:val="left" w:pos="-110"/>
        </w:tabs>
        <w:ind w:left="-151" w:hanging="139"/>
        <w:rPr>
          <w:rFonts w:ascii="Arial" w:eastAsia="Times New Roman" w:hAnsi="Arial"/>
          <w:b/>
          <w:bCs/>
          <w:sz w:val="32"/>
          <w:szCs w:val="36"/>
          <w:u w:val="single"/>
          <w:rtl/>
        </w:rPr>
      </w:pPr>
    </w:p>
    <w:p w:rsidR="0077405C" w:rsidRDefault="0077405C" w:rsidP="0077405C">
      <w:pPr>
        <w:tabs>
          <w:tab w:val="clear" w:pos="0"/>
          <w:tab w:val="left" w:pos="-110"/>
        </w:tabs>
        <w:ind w:left="-151" w:hanging="139"/>
        <w:rPr>
          <w:rFonts w:ascii="Arial" w:eastAsia="Times New Roman" w:hAnsi="Arial"/>
          <w:b/>
          <w:bCs/>
          <w:sz w:val="32"/>
          <w:szCs w:val="36"/>
          <w:u w:val="single"/>
          <w:rtl/>
        </w:rPr>
      </w:pPr>
    </w:p>
    <w:p w:rsidR="0077405C" w:rsidRDefault="0077405C" w:rsidP="0077405C">
      <w:pPr>
        <w:tabs>
          <w:tab w:val="clear" w:pos="0"/>
          <w:tab w:val="left" w:pos="-110"/>
        </w:tabs>
        <w:ind w:left="-151" w:hanging="139"/>
        <w:rPr>
          <w:rFonts w:ascii="Arial" w:eastAsia="Times New Roman" w:hAnsi="Arial"/>
          <w:b/>
          <w:bCs/>
          <w:sz w:val="32"/>
          <w:szCs w:val="36"/>
          <w:u w:val="single"/>
          <w:rtl/>
        </w:rPr>
      </w:pPr>
    </w:p>
    <w:p w:rsidR="0077405C" w:rsidRDefault="0077405C" w:rsidP="0077405C">
      <w:pPr>
        <w:tabs>
          <w:tab w:val="clear" w:pos="0"/>
          <w:tab w:val="left" w:pos="-110"/>
        </w:tabs>
        <w:ind w:left="-151" w:hanging="139"/>
        <w:rPr>
          <w:rFonts w:ascii="Arial" w:eastAsia="Times New Roman" w:hAnsi="Arial"/>
          <w:b/>
          <w:bCs/>
          <w:sz w:val="32"/>
          <w:szCs w:val="36"/>
          <w:u w:val="single"/>
          <w:rtl/>
        </w:rPr>
      </w:pPr>
      <w:r>
        <w:rPr>
          <w:rFonts w:ascii="Arial" w:eastAsia="Times New Roman" w:hAnsi="Arial" w:hint="cs"/>
          <w:b/>
          <w:bCs/>
          <w:sz w:val="32"/>
          <w:szCs w:val="36"/>
          <w:u w:val="single"/>
          <w:rtl/>
        </w:rPr>
        <w:t xml:space="preserve">בית-הדין האזורי </w:t>
      </w:r>
    </w:p>
    <w:p w:rsidR="0077405C" w:rsidRDefault="0077405C" w:rsidP="0077405C">
      <w:pPr>
        <w:tabs>
          <w:tab w:val="clear" w:pos="0"/>
          <w:tab w:val="left" w:pos="-110"/>
        </w:tabs>
        <w:ind w:left="-151" w:hanging="139"/>
        <w:rPr>
          <w:rFonts w:ascii="Arial" w:eastAsia="Times New Roman" w:hAnsi="Arial"/>
          <w:b/>
          <w:bCs/>
          <w:sz w:val="32"/>
          <w:szCs w:val="36"/>
          <w:u w:val="single"/>
          <w:rtl/>
        </w:rPr>
      </w:pPr>
    </w:p>
    <w:p w:rsidR="0077405C" w:rsidRDefault="0077405C" w:rsidP="0077405C">
      <w:pPr>
        <w:numPr>
          <w:ilvl w:val="0"/>
          <w:numId w:val="1"/>
        </w:numPr>
        <w:spacing w:line="360" w:lineRule="auto"/>
        <w:rPr>
          <w:rFonts w:ascii="Arial" w:eastAsia="Times New Roman" w:hAnsi="Arial"/>
          <w:b/>
          <w:bCs/>
          <w:color w:val="000080"/>
          <w:sz w:val="28"/>
          <w:szCs w:val="32"/>
          <w:u w:val="single"/>
        </w:rPr>
      </w:pPr>
      <w:r>
        <w:rPr>
          <w:rFonts w:ascii="Arial" w:eastAsia="Times New Roman" w:hAnsi="Arial" w:hint="cs"/>
          <w:b/>
          <w:bCs/>
          <w:color w:val="000080"/>
          <w:sz w:val="28"/>
          <w:szCs w:val="32"/>
          <w:u w:val="single"/>
          <w:rtl/>
        </w:rPr>
        <w:t>התקבלה תביעה ייצוגית ונפסק</w:t>
      </w:r>
      <w:r w:rsidR="002E3569">
        <w:rPr>
          <w:rFonts w:ascii="Arial" w:eastAsia="Times New Roman" w:hAnsi="Arial" w:hint="cs"/>
          <w:b/>
          <w:bCs/>
          <w:color w:val="000080"/>
          <w:sz w:val="28"/>
          <w:szCs w:val="32"/>
          <w:u w:val="single"/>
          <w:rtl/>
        </w:rPr>
        <w:t xml:space="preserve">ו </w:t>
      </w:r>
      <w:proofErr w:type="spellStart"/>
      <w:r w:rsidR="002E3569">
        <w:rPr>
          <w:rFonts w:ascii="Arial" w:eastAsia="Times New Roman" w:hAnsi="Arial" w:hint="cs"/>
          <w:b/>
          <w:bCs/>
          <w:color w:val="000080"/>
          <w:sz w:val="28"/>
          <w:szCs w:val="32"/>
          <w:u w:val="single"/>
          <w:rtl/>
        </w:rPr>
        <w:t>מליוני</w:t>
      </w:r>
      <w:proofErr w:type="spellEnd"/>
      <w:r w:rsidR="002E3569">
        <w:rPr>
          <w:rFonts w:ascii="Arial" w:eastAsia="Times New Roman" w:hAnsi="Arial" w:hint="cs"/>
          <w:b/>
          <w:bCs/>
          <w:color w:val="000080"/>
          <w:sz w:val="28"/>
          <w:szCs w:val="32"/>
          <w:u w:val="single"/>
          <w:rtl/>
        </w:rPr>
        <w:t xml:space="preserve"> שקלים </w:t>
      </w:r>
      <w:r>
        <w:rPr>
          <w:rFonts w:ascii="Arial" w:eastAsia="Times New Roman" w:hAnsi="Arial" w:hint="cs"/>
          <w:b/>
          <w:bCs/>
          <w:color w:val="000080"/>
          <w:sz w:val="28"/>
          <w:szCs w:val="32"/>
          <w:u w:val="single"/>
          <w:rtl/>
        </w:rPr>
        <w:t xml:space="preserve">לעובדי רשף שמירה ובטחון </w:t>
      </w:r>
      <w:r w:rsidR="00A631D8">
        <w:rPr>
          <w:rFonts w:ascii="Arial" w:eastAsia="Times New Roman" w:hAnsi="Arial" w:hint="cs"/>
          <w:b/>
          <w:bCs/>
          <w:color w:val="000080"/>
          <w:sz w:val="28"/>
          <w:szCs w:val="32"/>
          <w:u w:val="single"/>
          <w:rtl/>
        </w:rPr>
        <w:t>בגין אי הפרשה לפנסיה</w:t>
      </w:r>
    </w:p>
    <w:p w:rsidR="006F384A" w:rsidRDefault="0077405C" w:rsidP="00C62C82">
      <w:pPr>
        <w:spacing w:line="360" w:lineRule="auto"/>
        <w:ind w:left="0" w:firstLine="0"/>
        <w:rPr>
          <w:b/>
          <w:bCs/>
          <w:sz w:val="28"/>
          <w:szCs w:val="28"/>
          <w:rtl/>
        </w:rPr>
      </w:pPr>
      <w:r>
        <w:rPr>
          <w:rFonts w:hint="cs"/>
          <w:b/>
          <w:bCs/>
          <w:sz w:val="28"/>
          <w:szCs w:val="28"/>
          <w:rtl/>
        </w:rPr>
        <w:t>התובע הגיש תביעה</w:t>
      </w:r>
      <w:r w:rsidR="00C62C82">
        <w:rPr>
          <w:rFonts w:hint="cs"/>
          <w:b/>
          <w:bCs/>
          <w:sz w:val="28"/>
          <w:szCs w:val="28"/>
          <w:rtl/>
        </w:rPr>
        <w:t xml:space="preserve"> אישית</w:t>
      </w:r>
      <w:r>
        <w:rPr>
          <w:rFonts w:hint="cs"/>
          <w:b/>
          <w:bCs/>
          <w:sz w:val="28"/>
          <w:szCs w:val="28"/>
          <w:rtl/>
        </w:rPr>
        <w:t xml:space="preserve"> לתשלום זכויות המגיעות לו בגין תקופת עבודתו ובמקביל הגיש בקשה לאשר חלק מעילות התביעה כתובענה ייצוגית. </w:t>
      </w:r>
      <w:r w:rsidR="00E61B6D">
        <w:rPr>
          <w:rFonts w:hint="cs"/>
          <w:b/>
          <w:bCs/>
          <w:sz w:val="28"/>
          <w:szCs w:val="28"/>
          <w:rtl/>
        </w:rPr>
        <w:t>10/11/10 נדחתה בקשתו</w:t>
      </w:r>
      <w:r w:rsidR="00A631D8">
        <w:rPr>
          <w:rFonts w:hint="cs"/>
          <w:b/>
          <w:bCs/>
          <w:sz w:val="28"/>
          <w:szCs w:val="28"/>
          <w:rtl/>
        </w:rPr>
        <w:t xml:space="preserve"> בטענה שעל</w:t>
      </w:r>
      <w:r w:rsidR="00EA4662">
        <w:rPr>
          <w:rFonts w:hint="cs"/>
          <w:b/>
          <w:bCs/>
          <w:sz w:val="28"/>
          <w:szCs w:val="28"/>
          <w:rtl/>
        </w:rPr>
        <w:t>יו</w:t>
      </w:r>
      <w:r w:rsidR="00A631D8">
        <w:rPr>
          <w:rFonts w:hint="cs"/>
          <w:b/>
          <w:bCs/>
          <w:sz w:val="28"/>
          <w:szCs w:val="28"/>
          <w:rtl/>
        </w:rPr>
        <w:t xml:space="preserve"> היה לערב את ההסתדרות הכללית</w:t>
      </w:r>
      <w:r w:rsidR="00EA4662">
        <w:rPr>
          <w:rFonts w:hint="cs"/>
          <w:b/>
          <w:bCs/>
          <w:sz w:val="28"/>
          <w:szCs w:val="28"/>
          <w:rtl/>
        </w:rPr>
        <w:t>,</w:t>
      </w:r>
      <w:r w:rsidR="00A631D8">
        <w:rPr>
          <w:rFonts w:hint="cs"/>
          <w:b/>
          <w:bCs/>
          <w:sz w:val="28"/>
          <w:szCs w:val="28"/>
          <w:rtl/>
        </w:rPr>
        <w:t xml:space="preserve"> ל</w:t>
      </w:r>
      <w:r w:rsidR="00D54C38">
        <w:rPr>
          <w:rFonts w:hint="cs"/>
          <w:b/>
          <w:bCs/>
          <w:sz w:val="28"/>
          <w:szCs w:val="28"/>
          <w:rtl/>
        </w:rPr>
        <w:t xml:space="preserve">ייצג אותו בהשבת </w:t>
      </w:r>
      <w:r w:rsidR="00A631D8">
        <w:rPr>
          <w:rFonts w:hint="cs"/>
          <w:b/>
          <w:bCs/>
          <w:sz w:val="28"/>
          <w:szCs w:val="28"/>
          <w:rtl/>
        </w:rPr>
        <w:t>זכויותיו</w:t>
      </w:r>
      <w:r w:rsidR="00E61B6D">
        <w:rPr>
          <w:rFonts w:hint="cs"/>
          <w:b/>
          <w:bCs/>
          <w:sz w:val="28"/>
          <w:szCs w:val="28"/>
          <w:rtl/>
        </w:rPr>
        <w:t xml:space="preserve">. 5/11/11 הוגש ערעור ובית הדין הארצי הורה על החזרת עניינו של התובע לבית הדין האזורי ולדון באפשרות לאישור התביעה כייצוגית בעילת ההפרשות לפנסיה והניכויים משכר. 10/3/13 אושרה התביעה כתובענה ייצוגית, בעילת אי הפרשה לפנסיה. </w:t>
      </w:r>
    </w:p>
    <w:p w:rsidR="00BF76B1" w:rsidRDefault="006F384A" w:rsidP="00C62C82">
      <w:pPr>
        <w:spacing w:line="360" w:lineRule="auto"/>
        <w:ind w:left="52" w:firstLine="0"/>
        <w:rPr>
          <w:b/>
          <w:bCs/>
          <w:sz w:val="28"/>
          <w:szCs w:val="28"/>
          <w:rtl/>
        </w:rPr>
      </w:pPr>
      <w:r>
        <w:rPr>
          <w:rFonts w:hint="cs"/>
          <w:b/>
          <w:bCs/>
          <w:sz w:val="28"/>
          <w:szCs w:val="28"/>
          <w:rtl/>
        </w:rPr>
        <w:t>עיקר פעילות</w:t>
      </w:r>
      <w:r w:rsidR="00C62C82">
        <w:rPr>
          <w:rFonts w:hint="cs"/>
          <w:b/>
          <w:bCs/>
          <w:sz w:val="28"/>
          <w:szCs w:val="28"/>
          <w:rtl/>
        </w:rPr>
        <w:t xml:space="preserve"> הנתבעת הוא</w:t>
      </w:r>
      <w:r>
        <w:rPr>
          <w:rFonts w:hint="cs"/>
          <w:b/>
          <w:bCs/>
          <w:sz w:val="28"/>
          <w:szCs w:val="28"/>
          <w:rtl/>
        </w:rPr>
        <w:t xml:space="preserve"> במתן שירותי שמירה ואבטחה תוך השמת עובדים אצל לקוחותיה. התובע הועסק על-ידי הנתבעת בתפקיד שומר</w:t>
      </w:r>
      <w:r w:rsidR="00EA4662">
        <w:rPr>
          <w:rFonts w:hint="cs"/>
          <w:b/>
          <w:bCs/>
          <w:sz w:val="28"/>
          <w:szCs w:val="28"/>
          <w:rtl/>
        </w:rPr>
        <w:t>,</w:t>
      </w:r>
      <w:r>
        <w:rPr>
          <w:rFonts w:hint="cs"/>
          <w:b/>
          <w:bCs/>
          <w:sz w:val="28"/>
          <w:szCs w:val="28"/>
          <w:rtl/>
        </w:rPr>
        <w:t xml:space="preserve"> בתקופה שבין 09/01 ל- 07/08</w:t>
      </w:r>
      <w:r w:rsidR="00EA4662">
        <w:rPr>
          <w:rFonts w:hint="cs"/>
          <w:b/>
          <w:bCs/>
          <w:sz w:val="28"/>
          <w:szCs w:val="28"/>
          <w:rtl/>
        </w:rPr>
        <w:t>.</w:t>
      </w:r>
      <w:r>
        <w:rPr>
          <w:rFonts w:hint="cs"/>
          <w:b/>
          <w:bCs/>
          <w:sz w:val="28"/>
          <w:szCs w:val="28"/>
          <w:rtl/>
        </w:rPr>
        <w:t xml:space="preserve"> בסיום העסקה</w:t>
      </w:r>
      <w:r w:rsidR="006D0263">
        <w:rPr>
          <w:rFonts w:hint="cs"/>
          <w:b/>
          <w:bCs/>
          <w:sz w:val="28"/>
          <w:szCs w:val="28"/>
          <w:rtl/>
        </w:rPr>
        <w:t>,</w:t>
      </w:r>
      <w:r>
        <w:rPr>
          <w:rFonts w:hint="cs"/>
          <w:b/>
          <w:bCs/>
          <w:sz w:val="28"/>
          <w:szCs w:val="28"/>
          <w:rtl/>
        </w:rPr>
        <w:t xml:space="preserve"> במסגרת גמר החשבון </w:t>
      </w:r>
      <w:r w:rsidR="00A631D8">
        <w:rPr>
          <w:rFonts w:hint="cs"/>
          <w:b/>
          <w:bCs/>
          <w:sz w:val="28"/>
          <w:szCs w:val="28"/>
          <w:rtl/>
        </w:rPr>
        <w:t xml:space="preserve">שולם לתובע </w:t>
      </w:r>
      <w:r>
        <w:rPr>
          <w:rFonts w:hint="cs"/>
          <w:b/>
          <w:bCs/>
          <w:sz w:val="28"/>
          <w:szCs w:val="28"/>
          <w:rtl/>
        </w:rPr>
        <w:t xml:space="preserve">סך של 9729 ₪ תחת הכותרת "פיצוי לעובד גמל", בגין אי ביצוע הפרשות לפנסיה במהלך תקופת עבודתו. </w:t>
      </w:r>
      <w:r w:rsidR="00853484">
        <w:rPr>
          <w:rFonts w:hint="cs"/>
          <w:b/>
          <w:bCs/>
          <w:sz w:val="28"/>
          <w:szCs w:val="28"/>
          <w:rtl/>
        </w:rPr>
        <w:t>עד שנת 2006  חלו יחסי עבודה בין התובע לבין הנתבעת</w:t>
      </w:r>
      <w:r w:rsidR="006D0263">
        <w:rPr>
          <w:rFonts w:hint="cs"/>
          <w:b/>
          <w:bCs/>
          <w:sz w:val="28"/>
          <w:szCs w:val="28"/>
          <w:rtl/>
        </w:rPr>
        <w:t xml:space="preserve"> על-פי </w:t>
      </w:r>
      <w:r w:rsidR="00853484">
        <w:rPr>
          <w:rFonts w:hint="cs"/>
          <w:b/>
          <w:bCs/>
          <w:sz w:val="28"/>
          <w:szCs w:val="28"/>
          <w:rtl/>
        </w:rPr>
        <w:t>הוראות צו הרחבה בענף השמירה</w:t>
      </w:r>
      <w:r w:rsidR="00DB1F0E">
        <w:rPr>
          <w:rFonts w:hint="cs"/>
          <w:b/>
          <w:bCs/>
          <w:sz w:val="28"/>
          <w:szCs w:val="28"/>
          <w:rtl/>
        </w:rPr>
        <w:t xml:space="preserve"> </w:t>
      </w:r>
      <w:r w:rsidR="00853484">
        <w:rPr>
          <w:rFonts w:hint="cs"/>
          <w:b/>
          <w:bCs/>
          <w:sz w:val="28"/>
          <w:szCs w:val="28"/>
          <w:rtl/>
        </w:rPr>
        <w:t xml:space="preserve">(1973), בשנת 2006 הצטרפה הנתבעת לארגון מפעלי השמירה וחל עליה הוראות ההסכם הקיבוצי בענף השמירה. </w:t>
      </w:r>
    </w:p>
    <w:p w:rsidR="00853484" w:rsidRDefault="00853484" w:rsidP="00394969">
      <w:pPr>
        <w:spacing w:line="360" w:lineRule="auto"/>
        <w:ind w:left="0" w:firstLine="0"/>
        <w:rPr>
          <w:b/>
          <w:bCs/>
          <w:sz w:val="28"/>
          <w:szCs w:val="28"/>
          <w:rtl/>
        </w:rPr>
      </w:pPr>
      <w:r>
        <w:rPr>
          <w:rFonts w:hint="cs"/>
          <w:b/>
          <w:bCs/>
          <w:sz w:val="28"/>
          <w:szCs w:val="28"/>
          <w:rtl/>
        </w:rPr>
        <w:t>מהראיות שהוצגו בבית הדין עלה בבירור כי הנתבעת לא עמדה בחובתה על-פי צו ההרחבה וההסכם הקיבוצי בענף השמירה, בעריכת ביטוח פנסיוני לעובדיה, בהתאם לתנאים שנקבעו בצו ההרחבה ובהסכם הקיבוצי.</w:t>
      </w:r>
    </w:p>
    <w:p w:rsidR="0077405C" w:rsidRDefault="00394969" w:rsidP="002516EA">
      <w:pPr>
        <w:spacing w:line="360" w:lineRule="auto"/>
        <w:ind w:left="52" w:firstLine="0"/>
        <w:rPr>
          <w:b/>
          <w:bCs/>
          <w:sz w:val="28"/>
          <w:szCs w:val="28"/>
        </w:rPr>
      </w:pPr>
      <w:r>
        <w:rPr>
          <w:rFonts w:hint="cs"/>
          <w:b/>
          <w:bCs/>
          <w:sz w:val="28"/>
          <w:szCs w:val="28"/>
          <w:rtl/>
        </w:rPr>
        <w:lastRenderedPageBreak/>
        <w:t>בית הדין הגדיר את קבוצת העובדים הזכאים לפיצוי</w:t>
      </w:r>
      <w:r w:rsidR="002516EA">
        <w:rPr>
          <w:rFonts w:hint="cs"/>
          <w:b/>
          <w:bCs/>
          <w:sz w:val="28"/>
          <w:szCs w:val="28"/>
          <w:rtl/>
        </w:rPr>
        <w:t>,</w:t>
      </w:r>
      <w:r>
        <w:rPr>
          <w:rFonts w:hint="cs"/>
          <w:b/>
          <w:bCs/>
          <w:sz w:val="28"/>
          <w:szCs w:val="28"/>
          <w:rtl/>
        </w:rPr>
        <w:t xml:space="preserve"> </w:t>
      </w:r>
      <w:r w:rsidR="00D80810">
        <w:rPr>
          <w:rFonts w:hint="cs"/>
          <w:b/>
          <w:bCs/>
          <w:sz w:val="28"/>
          <w:szCs w:val="28"/>
          <w:rtl/>
        </w:rPr>
        <w:t xml:space="preserve">ככל </w:t>
      </w:r>
      <w:r>
        <w:rPr>
          <w:rFonts w:hint="cs"/>
          <w:b/>
          <w:bCs/>
          <w:sz w:val="28"/>
          <w:szCs w:val="28"/>
          <w:rtl/>
        </w:rPr>
        <w:t>עובדי שמירה</w:t>
      </w:r>
      <w:r w:rsidR="000D20E4">
        <w:rPr>
          <w:rFonts w:hint="cs"/>
          <w:b/>
          <w:bCs/>
          <w:sz w:val="28"/>
          <w:szCs w:val="28"/>
          <w:rtl/>
        </w:rPr>
        <w:t>,</w:t>
      </w:r>
      <w:r w:rsidR="00D80810">
        <w:rPr>
          <w:rFonts w:hint="cs"/>
          <w:b/>
          <w:bCs/>
          <w:sz w:val="28"/>
          <w:szCs w:val="28"/>
          <w:rtl/>
        </w:rPr>
        <w:t xml:space="preserve"> שהועסקו בחברה בין השנים 2001-2008, ולא קיבלו פיצוי אישי אחר.</w:t>
      </w:r>
      <w:r>
        <w:rPr>
          <w:rFonts w:hint="cs"/>
          <w:b/>
          <w:bCs/>
          <w:sz w:val="28"/>
          <w:szCs w:val="28"/>
          <w:rtl/>
        </w:rPr>
        <w:t xml:space="preserve"> </w:t>
      </w:r>
    </w:p>
    <w:p w:rsidR="008E0A23" w:rsidRDefault="00394969" w:rsidP="000D20E4">
      <w:pPr>
        <w:spacing w:line="360" w:lineRule="auto"/>
        <w:ind w:left="52" w:firstLine="0"/>
        <w:rPr>
          <w:b/>
          <w:bCs/>
          <w:sz w:val="28"/>
          <w:szCs w:val="28"/>
          <w:rtl/>
        </w:rPr>
      </w:pPr>
      <w:r>
        <w:rPr>
          <w:rFonts w:hint="cs"/>
          <w:b/>
          <w:bCs/>
          <w:sz w:val="28"/>
          <w:szCs w:val="28"/>
          <w:rtl/>
        </w:rPr>
        <w:t xml:space="preserve">הסעד הנפסק לחברי הקבוצה, </w:t>
      </w:r>
      <w:r w:rsidR="00D80810">
        <w:rPr>
          <w:rFonts w:hint="cs"/>
          <w:b/>
          <w:bCs/>
          <w:sz w:val="28"/>
          <w:szCs w:val="28"/>
          <w:rtl/>
        </w:rPr>
        <w:t xml:space="preserve">הוא </w:t>
      </w:r>
      <w:r>
        <w:rPr>
          <w:rFonts w:hint="cs"/>
          <w:b/>
          <w:bCs/>
          <w:sz w:val="28"/>
          <w:szCs w:val="28"/>
          <w:rtl/>
        </w:rPr>
        <w:t>פיצוי של 5,655,915 ₪</w:t>
      </w:r>
      <w:r w:rsidR="00D80810">
        <w:rPr>
          <w:rFonts w:hint="cs"/>
          <w:b/>
          <w:bCs/>
          <w:sz w:val="28"/>
          <w:szCs w:val="28"/>
          <w:rtl/>
        </w:rPr>
        <w:t xml:space="preserve">. </w:t>
      </w:r>
      <w:r>
        <w:rPr>
          <w:rFonts w:hint="cs"/>
          <w:b/>
          <w:bCs/>
          <w:sz w:val="28"/>
          <w:szCs w:val="28"/>
          <w:rtl/>
        </w:rPr>
        <w:t>למניעת הכבדה על בעלי הדין ח</w:t>
      </w:r>
      <w:r w:rsidR="008E0A23">
        <w:rPr>
          <w:rFonts w:hint="cs"/>
          <w:b/>
          <w:bCs/>
          <w:sz w:val="28"/>
          <w:szCs w:val="28"/>
          <w:rtl/>
        </w:rPr>
        <w:t>ויבה</w:t>
      </w:r>
      <w:r>
        <w:rPr>
          <w:rFonts w:hint="cs"/>
          <w:b/>
          <w:bCs/>
          <w:sz w:val="28"/>
          <w:szCs w:val="28"/>
          <w:rtl/>
        </w:rPr>
        <w:t xml:space="preserve"> הנתבעת </w:t>
      </w:r>
      <w:r w:rsidR="008E0A23">
        <w:rPr>
          <w:rFonts w:hint="cs"/>
          <w:b/>
          <w:bCs/>
          <w:sz w:val="28"/>
          <w:szCs w:val="28"/>
          <w:rtl/>
        </w:rPr>
        <w:t>בתשלום ריבית והצמדה</w:t>
      </w:r>
      <w:r w:rsidR="00D80810">
        <w:rPr>
          <w:rFonts w:hint="cs"/>
          <w:b/>
          <w:bCs/>
          <w:sz w:val="28"/>
          <w:szCs w:val="28"/>
          <w:rtl/>
        </w:rPr>
        <w:t xml:space="preserve"> על הסכום הנ"ל</w:t>
      </w:r>
      <w:r w:rsidR="008E0A23">
        <w:rPr>
          <w:rFonts w:hint="cs"/>
          <w:b/>
          <w:bCs/>
          <w:sz w:val="28"/>
          <w:szCs w:val="28"/>
          <w:rtl/>
        </w:rPr>
        <w:t xml:space="preserve"> החל ממחצית התקופה הקובעת 21/08/08, מועד הגשת הבקשה</w:t>
      </w:r>
      <w:r w:rsidR="00D80810">
        <w:rPr>
          <w:rFonts w:hint="cs"/>
          <w:b/>
          <w:bCs/>
          <w:sz w:val="28"/>
          <w:szCs w:val="28"/>
          <w:rtl/>
        </w:rPr>
        <w:t xml:space="preserve"> לאישור תביעה ייצוגית. </w:t>
      </w:r>
      <w:r w:rsidR="008E0A23">
        <w:rPr>
          <w:rFonts w:hint="cs"/>
          <w:b/>
          <w:bCs/>
          <w:sz w:val="28"/>
          <w:szCs w:val="28"/>
          <w:rtl/>
        </w:rPr>
        <w:t xml:space="preserve">לב"כ הקבוצה </w:t>
      </w:r>
      <w:r w:rsidR="002042C4">
        <w:rPr>
          <w:rFonts w:hint="cs"/>
          <w:b/>
          <w:bCs/>
          <w:sz w:val="28"/>
          <w:szCs w:val="28"/>
          <w:rtl/>
        </w:rPr>
        <w:t>נפסק שכר טרחה</w:t>
      </w:r>
      <w:r w:rsidR="008E0A23">
        <w:rPr>
          <w:rFonts w:hint="cs"/>
          <w:b/>
          <w:bCs/>
          <w:sz w:val="28"/>
          <w:szCs w:val="28"/>
          <w:rtl/>
        </w:rPr>
        <w:t xml:space="preserve"> בשיעור של 14% מהסכומים ש</w:t>
      </w:r>
      <w:r w:rsidR="002042C4">
        <w:rPr>
          <w:rFonts w:hint="cs"/>
          <w:b/>
          <w:bCs/>
          <w:sz w:val="28"/>
          <w:szCs w:val="28"/>
          <w:rtl/>
        </w:rPr>
        <w:t>יחולקו על ידו בפועל לחברי הקבוצה</w:t>
      </w:r>
      <w:r w:rsidR="002B662B" w:rsidRPr="002B662B">
        <w:rPr>
          <w:rFonts w:hint="cs"/>
          <w:b/>
          <w:bCs/>
          <w:sz w:val="28"/>
          <w:szCs w:val="28"/>
          <w:rtl/>
        </w:rPr>
        <w:t xml:space="preserve"> </w:t>
      </w:r>
      <w:r w:rsidR="002B662B">
        <w:rPr>
          <w:rFonts w:hint="cs"/>
          <w:b/>
          <w:bCs/>
          <w:sz w:val="28"/>
          <w:szCs w:val="28"/>
          <w:rtl/>
        </w:rPr>
        <w:t>ו-200,000 ₪ עבור הוצאות ניהול ההליך.</w:t>
      </w:r>
    </w:p>
    <w:p w:rsidR="008E204A" w:rsidRDefault="002B662B" w:rsidP="002B662B">
      <w:pPr>
        <w:spacing w:line="360" w:lineRule="auto"/>
        <w:rPr>
          <w:b/>
          <w:bCs/>
          <w:sz w:val="28"/>
          <w:szCs w:val="28"/>
          <w:rtl/>
        </w:rPr>
      </w:pPr>
      <w:r>
        <w:rPr>
          <w:rFonts w:hint="cs"/>
          <w:b/>
          <w:bCs/>
          <w:sz w:val="28"/>
          <w:szCs w:val="28"/>
          <w:rtl/>
        </w:rPr>
        <w:t>ל</w:t>
      </w:r>
      <w:r w:rsidR="008E204A">
        <w:rPr>
          <w:rFonts w:hint="cs"/>
          <w:b/>
          <w:bCs/>
          <w:sz w:val="28"/>
          <w:szCs w:val="28"/>
          <w:rtl/>
        </w:rPr>
        <w:t xml:space="preserve">תובע המייצג </w:t>
      </w:r>
      <w:r>
        <w:rPr>
          <w:rFonts w:hint="cs"/>
          <w:b/>
          <w:bCs/>
          <w:sz w:val="28"/>
          <w:szCs w:val="28"/>
          <w:rtl/>
        </w:rPr>
        <w:t>נפסק פיצוי סך 50,000</w:t>
      </w:r>
      <w:r w:rsidR="008E204A">
        <w:rPr>
          <w:rFonts w:hint="cs"/>
          <w:b/>
          <w:bCs/>
          <w:sz w:val="28"/>
          <w:szCs w:val="28"/>
          <w:rtl/>
        </w:rPr>
        <w:t xml:space="preserve"> ₪ .</w:t>
      </w:r>
    </w:p>
    <w:p w:rsidR="0077405C" w:rsidRDefault="0077405C" w:rsidP="008E204A">
      <w:pPr>
        <w:spacing w:line="360" w:lineRule="auto"/>
        <w:rPr>
          <w:b/>
          <w:bCs/>
          <w:sz w:val="28"/>
          <w:szCs w:val="28"/>
          <w:rtl/>
        </w:rPr>
      </w:pPr>
    </w:p>
    <w:p w:rsidR="0077405C" w:rsidRDefault="008E204A" w:rsidP="008E204A">
      <w:pPr>
        <w:tabs>
          <w:tab w:val="clear" w:pos="0"/>
          <w:tab w:val="left" w:pos="-290"/>
        </w:tabs>
        <w:spacing w:line="360" w:lineRule="auto"/>
        <w:ind w:left="0" w:firstLine="0"/>
        <w:rPr>
          <w:rFonts w:ascii="Arial" w:eastAsia="Times New Roman" w:hAnsi="Arial"/>
          <w:sz w:val="28"/>
          <w:szCs w:val="28"/>
          <w:rtl/>
        </w:rPr>
      </w:pPr>
      <w:proofErr w:type="spellStart"/>
      <w:r>
        <w:rPr>
          <w:rFonts w:hint="cs"/>
          <w:rtl/>
        </w:rPr>
        <w:t>ס"ע</w:t>
      </w:r>
      <w:proofErr w:type="spellEnd"/>
      <w:r w:rsidR="0077405C">
        <w:rPr>
          <w:rFonts w:hint="cs"/>
          <w:rtl/>
        </w:rPr>
        <w:t xml:space="preserve"> </w:t>
      </w:r>
      <w:r>
        <w:rPr>
          <w:rFonts w:hint="cs"/>
          <w:rtl/>
        </w:rPr>
        <w:t>9403-08</w:t>
      </w:r>
      <w:r w:rsidR="0077405C">
        <w:rPr>
          <w:b/>
          <w:bCs/>
        </w:rPr>
        <w:t xml:space="preserve">● </w:t>
      </w:r>
      <w:r>
        <w:rPr>
          <w:rFonts w:hint="cs"/>
          <w:b/>
          <w:bCs/>
          <w:rtl/>
        </w:rPr>
        <w:t>פרץ מאיר</w:t>
      </w:r>
      <w:r w:rsidR="0077405C">
        <w:rPr>
          <w:rFonts w:hint="cs"/>
          <w:b/>
          <w:bCs/>
          <w:rtl/>
        </w:rPr>
        <w:t xml:space="preserve"> </w:t>
      </w:r>
      <w:r>
        <w:rPr>
          <w:b/>
          <w:bCs/>
          <w:rtl/>
        </w:rPr>
        <w:t>–</w:t>
      </w:r>
      <w:r w:rsidR="0077405C">
        <w:rPr>
          <w:rFonts w:hint="cs"/>
          <w:b/>
          <w:bCs/>
          <w:rtl/>
        </w:rPr>
        <w:t xml:space="preserve"> </w:t>
      </w:r>
      <w:r>
        <w:rPr>
          <w:rFonts w:hint="cs"/>
          <w:b/>
          <w:bCs/>
          <w:rtl/>
        </w:rPr>
        <w:t>רשף בטחון (1993)</w:t>
      </w:r>
      <w:r w:rsidR="0077405C">
        <w:rPr>
          <w:rFonts w:hint="cs"/>
          <w:b/>
          <w:bCs/>
          <w:rtl/>
        </w:rPr>
        <w:t xml:space="preserve"> בע"מ </w:t>
      </w:r>
      <w:r w:rsidR="0077405C">
        <w:rPr>
          <w:b/>
          <w:bCs/>
        </w:rPr>
        <w:t xml:space="preserve"> ●</w:t>
      </w:r>
      <w:r w:rsidR="0077405C">
        <w:rPr>
          <w:rFonts w:hint="cs"/>
          <w:b/>
          <w:bCs/>
          <w:rtl/>
        </w:rPr>
        <w:t xml:space="preserve"> </w:t>
      </w:r>
      <w:r w:rsidR="0077405C">
        <w:rPr>
          <w:rFonts w:hint="cs"/>
          <w:rtl/>
        </w:rPr>
        <w:t>בפני כב' השופט</w:t>
      </w:r>
      <w:r>
        <w:rPr>
          <w:rFonts w:hint="cs"/>
          <w:rtl/>
        </w:rPr>
        <w:t>ת</w:t>
      </w:r>
      <w:r w:rsidR="0077405C">
        <w:rPr>
          <w:rFonts w:hint="cs"/>
          <w:rtl/>
        </w:rPr>
        <w:t xml:space="preserve"> </w:t>
      </w:r>
      <w:r>
        <w:rPr>
          <w:rFonts w:hint="cs"/>
          <w:rtl/>
        </w:rPr>
        <w:t>הדס יהלום,</w:t>
      </w:r>
      <w:r w:rsidR="001838AE">
        <w:rPr>
          <w:rFonts w:hint="cs"/>
          <w:rtl/>
        </w:rPr>
        <w:t xml:space="preserve"> </w:t>
      </w:r>
      <w:bookmarkStart w:id="0" w:name="_GoBack"/>
      <w:bookmarkEnd w:id="0"/>
      <w:r>
        <w:rPr>
          <w:rFonts w:hint="cs"/>
          <w:rtl/>
        </w:rPr>
        <w:t>ס' נשיאה</w:t>
      </w:r>
      <w:r w:rsidR="0077405C">
        <w:rPr>
          <w:rFonts w:hint="cs"/>
          <w:rtl/>
        </w:rPr>
        <w:t xml:space="preserve"> </w:t>
      </w:r>
      <w:proofErr w:type="spellStart"/>
      <w:r w:rsidR="0077405C">
        <w:rPr>
          <w:rFonts w:hint="cs"/>
          <w:rtl/>
        </w:rPr>
        <w:t>ונ.צ</w:t>
      </w:r>
      <w:proofErr w:type="spellEnd"/>
      <w:r w:rsidR="0077405C">
        <w:rPr>
          <w:rFonts w:hint="cs"/>
          <w:rtl/>
        </w:rPr>
        <w:t xml:space="preserve"> (מעסיקים) מר </w:t>
      </w:r>
      <w:r>
        <w:rPr>
          <w:rFonts w:hint="cs"/>
          <w:rtl/>
        </w:rPr>
        <w:t xml:space="preserve">יעקב ענב </w:t>
      </w:r>
      <w:proofErr w:type="spellStart"/>
      <w:r>
        <w:rPr>
          <w:rFonts w:hint="cs"/>
          <w:rtl/>
        </w:rPr>
        <w:t>ונ.צ</w:t>
      </w:r>
      <w:proofErr w:type="spellEnd"/>
      <w:r>
        <w:rPr>
          <w:rFonts w:hint="cs"/>
          <w:rtl/>
        </w:rPr>
        <w:t xml:space="preserve"> (עובדים) משה כהנא</w:t>
      </w:r>
      <w:r w:rsidR="0077405C">
        <w:rPr>
          <w:rFonts w:hint="cs"/>
          <w:rtl/>
        </w:rPr>
        <w:t>.</w:t>
      </w:r>
      <w:r w:rsidR="0077405C">
        <w:rPr>
          <w:rFonts w:ascii="Arial" w:eastAsia="Times New Roman" w:hAnsi="Arial" w:hint="cs"/>
          <w:sz w:val="28"/>
          <w:szCs w:val="28"/>
          <w:rtl/>
        </w:rPr>
        <w:t xml:space="preserve"> </w:t>
      </w:r>
    </w:p>
    <w:p w:rsidR="0077405C" w:rsidRDefault="0077405C" w:rsidP="0077405C">
      <w:pPr>
        <w:tabs>
          <w:tab w:val="clear" w:pos="0"/>
          <w:tab w:val="left" w:pos="-110"/>
        </w:tabs>
        <w:ind w:left="-151" w:hanging="139"/>
        <w:rPr>
          <w:rFonts w:ascii="Arial" w:eastAsia="Times New Roman" w:hAnsi="Arial"/>
          <w:b/>
          <w:bCs/>
          <w:sz w:val="32"/>
          <w:szCs w:val="36"/>
          <w:u w:val="single"/>
          <w:rtl/>
        </w:rPr>
      </w:pPr>
    </w:p>
    <w:p w:rsidR="007C6673" w:rsidRPr="007C6673" w:rsidRDefault="007C6673" w:rsidP="007C6673">
      <w:pPr>
        <w:numPr>
          <w:ilvl w:val="0"/>
          <w:numId w:val="1"/>
        </w:numPr>
        <w:spacing w:line="360" w:lineRule="auto"/>
        <w:rPr>
          <w:rFonts w:ascii="Arial" w:eastAsia="Times New Roman" w:hAnsi="Arial"/>
          <w:b/>
          <w:bCs/>
          <w:color w:val="000080"/>
          <w:sz w:val="28"/>
          <w:szCs w:val="32"/>
          <w:u w:val="single"/>
        </w:rPr>
      </w:pPr>
      <w:r w:rsidRPr="007C6673">
        <w:rPr>
          <w:rFonts w:ascii="Arial" w:eastAsia="Times New Roman" w:hAnsi="Arial" w:hint="cs"/>
          <w:b/>
          <w:bCs/>
          <w:color w:val="000080"/>
          <w:sz w:val="28"/>
          <w:szCs w:val="32"/>
          <w:u w:val="single"/>
          <w:rtl/>
        </w:rPr>
        <w:t>אי מסירת תלוש שכר לעובד, הביאה להרשעת חברה ובעליה באחריות קפידה</w:t>
      </w:r>
    </w:p>
    <w:p w:rsidR="007C6673" w:rsidRPr="007C6673" w:rsidRDefault="007C6673" w:rsidP="007C6673">
      <w:pPr>
        <w:spacing w:line="360" w:lineRule="auto"/>
        <w:ind w:left="52" w:firstLine="0"/>
        <w:rPr>
          <w:b/>
          <w:bCs/>
          <w:sz w:val="28"/>
          <w:szCs w:val="28"/>
          <w:rtl/>
        </w:rPr>
      </w:pPr>
      <w:r w:rsidRPr="007C6673">
        <w:rPr>
          <w:rFonts w:hint="cs"/>
          <w:b/>
          <w:bCs/>
          <w:sz w:val="28"/>
          <w:szCs w:val="28"/>
          <w:rtl/>
        </w:rPr>
        <w:t xml:space="preserve">הנאשמות, חברת </w:t>
      </w:r>
      <w:proofErr w:type="spellStart"/>
      <w:r w:rsidRPr="007C6673">
        <w:rPr>
          <w:rFonts w:hint="cs"/>
          <w:b/>
          <w:bCs/>
          <w:sz w:val="28"/>
          <w:szCs w:val="28"/>
          <w:rtl/>
        </w:rPr>
        <w:t>סימפרק</w:t>
      </w:r>
      <w:proofErr w:type="spellEnd"/>
      <w:r w:rsidRPr="007C6673">
        <w:rPr>
          <w:rFonts w:hint="cs"/>
          <w:b/>
          <w:bCs/>
          <w:sz w:val="28"/>
          <w:szCs w:val="28"/>
          <w:rtl/>
        </w:rPr>
        <w:t xml:space="preserve"> בע"מ ומנהלת שלה המפעילים את אתר מיני ישראל ליד לטרון  הורשעו בבית הדין לאחר שהוכח שלא הופקו תלושי שכר לעובד. </w:t>
      </w:r>
    </w:p>
    <w:p w:rsidR="007C6673" w:rsidRPr="007C6673" w:rsidRDefault="007C6673" w:rsidP="007C6673">
      <w:pPr>
        <w:spacing w:line="360" w:lineRule="auto"/>
        <w:ind w:left="52" w:firstLine="0"/>
        <w:rPr>
          <w:b/>
          <w:bCs/>
          <w:sz w:val="28"/>
          <w:szCs w:val="28"/>
          <w:rtl/>
        </w:rPr>
      </w:pPr>
      <w:r w:rsidRPr="007C6673">
        <w:rPr>
          <w:rFonts w:hint="cs"/>
          <w:b/>
          <w:bCs/>
          <w:sz w:val="28"/>
          <w:szCs w:val="28"/>
          <w:rtl/>
        </w:rPr>
        <w:t xml:space="preserve">התובע מטעם מדינת ישראל הוכיח את היסוד העובדתי </w:t>
      </w:r>
      <w:r w:rsidRPr="007C6673">
        <w:rPr>
          <w:b/>
          <w:bCs/>
          <w:sz w:val="28"/>
          <w:szCs w:val="28"/>
          <w:rtl/>
        </w:rPr>
        <w:t>–</w:t>
      </w:r>
      <w:r w:rsidRPr="007C6673">
        <w:rPr>
          <w:rFonts w:hint="cs"/>
          <w:b/>
          <w:bCs/>
          <w:sz w:val="28"/>
          <w:szCs w:val="28"/>
          <w:rtl/>
        </w:rPr>
        <w:t xml:space="preserve"> אי מסירת תלוש שכר. החברה והמנהלת שהייתה מעורבת אישית בהעברת רשימות שעות עבודה להפקת תלושי שכר, לא הצליחה להוכיח את הנדרש באחריות קפידה כי העבירה נעשתה ללא מחשבה פלילית, שלא ברשלנות, וכי עשתה כל שניתן כדי למנוע העבירה של אי מסירת התלוש. נפסק כי מנושא משרה בתאגיד נדרשת מעורבות אקטיבית להבטחת מניעת עבירות על-ידי מתן הנחיות ברורות בדבר חובות המעביד בניהול שוטף ופקוח סביר על בצוע ההנחיות.</w:t>
      </w:r>
    </w:p>
    <w:p w:rsidR="007C6673" w:rsidRPr="007C6673" w:rsidRDefault="007C6673" w:rsidP="007C6673">
      <w:pPr>
        <w:spacing w:line="360" w:lineRule="auto"/>
        <w:ind w:left="52" w:firstLine="0"/>
        <w:rPr>
          <w:b/>
          <w:bCs/>
          <w:sz w:val="28"/>
          <w:szCs w:val="28"/>
          <w:rtl/>
        </w:rPr>
      </w:pPr>
      <w:r w:rsidRPr="007C6673">
        <w:rPr>
          <w:rFonts w:hint="cs"/>
          <w:b/>
          <w:bCs/>
          <w:sz w:val="28"/>
          <w:szCs w:val="28"/>
          <w:rtl/>
        </w:rPr>
        <w:t xml:space="preserve">בהכרעת הדין חברת </w:t>
      </w:r>
      <w:proofErr w:type="spellStart"/>
      <w:r w:rsidRPr="007C6673">
        <w:rPr>
          <w:rFonts w:hint="cs"/>
          <w:b/>
          <w:bCs/>
          <w:sz w:val="28"/>
          <w:szCs w:val="28"/>
          <w:rtl/>
        </w:rPr>
        <w:t>סימפרק</w:t>
      </w:r>
      <w:proofErr w:type="spellEnd"/>
      <w:r w:rsidRPr="007C6673">
        <w:rPr>
          <w:rFonts w:hint="cs"/>
          <w:b/>
          <w:bCs/>
          <w:sz w:val="28"/>
          <w:szCs w:val="28"/>
          <w:rtl/>
        </w:rPr>
        <w:t xml:space="preserve"> ובעליה הורשעו לפי חוק הגנת השכר, עונשם יקבע לאחר הגשת הטיעונים לעונש. </w:t>
      </w:r>
    </w:p>
    <w:p w:rsidR="007C6673" w:rsidRDefault="007C6673" w:rsidP="007C6673">
      <w:pPr>
        <w:spacing w:line="360" w:lineRule="auto"/>
        <w:ind w:left="0" w:firstLine="0"/>
        <w:rPr>
          <w:b/>
          <w:bCs/>
          <w:sz w:val="28"/>
          <w:szCs w:val="28"/>
          <w:rtl/>
        </w:rPr>
      </w:pPr>
    </w:p>
    <w:p w:rsidR="0077405C" w:rsidRDefault="007C6673" w:rsidP="00DB1F0E">
      <w:pPr>
        <w:tabs>
          <w:tab w:val="clear" w:pos="0"/>
          <w:tab w:val="left" w:pos="-290"/>
        </w:tabs>
        <w:spacing w:line="360" w:lineRule="auto"/>
        <w:ind w:left="0" w:firstLine="0"/>
        <w:rPr>
          <w:rtl/>
        </w:rPr>
      </w:pPr>
      <w:r>
        <w:rPr>
          <w:rFonts w:hint="cs"/>
          <w:rtl/>
        </w:rPr>
        <w:t>ת"פ 35406-10-12</w:t>
      </w:r>
      <w:r w:rsidR="0077405C">
        <w:rPr>
          <w:rFonts w:hint="cs"/>
          <w:rtl/>
        </w:rPr>
        <w:t xml:space="preserve"> </w:t>
      </w:r>
      <w:r w:rsidR="0077405C">
        <w:rPr>
          <w:rFonts w:hint="cs"/>
          <w:b/>
          <w:bCs/>
        </w:rPr>
        <w:t xml:space="preserve"> </w:t>
      </w:r>
      <w:r w:rsidR="0077405C">
        <w:rPr>
          <w:b/>
          <w:bCs/>
        </w:rPr>
        <w:t>●</w:t>
      </w:r>
      <w:r w:rsidRPr="007C6673">
        <w:rPr>
          <w:rFonts w:hint="cs"/>
          <w:b/>
          <w:bCs/>
          <w:rtl/>
        </w:rPr>
        <w:t xml:space="preserve"> </w:t>
      </w:r>
      <w:r>
        <w:rPr>
          <w:rFonts w:hint="cs"/>
          <w:b/>
          <w:bCs/>
          <w:rtl/>
        </w:rPr>
        <w:t>מדינת ישראל נ'</w:t>
      </w:r>
      <w:r w:rsidRPr="002D22CF">
        <w:rPr>
          <w:rFonts w:hint="cs"/>
          <w:b/>
          <w:bCs/>
          <w:rtl/>
        </w:rPr>
        <w:t xml:space="preserve"> </w:t>
      </w:r>
      <w:proofErr w:type="spellStart"/>
      <w:r>
        <w:rPr>
          <w:rFonts w:hint="cs"/>
          <w:b/>
          <w:bCs/>
          <w:rtl/>
        </w:rPr>
        <w:t>סימפרק</w:t>
      </w:r>
      <w:proofErr w:type="spellEnd"/>
      <w:r>
        <w:rPr>
          <w:rFonts w:hint="cs"/>
          <w:b/>
          <w:bCs/>
          <w:rtl/>
        </w:rPr>
        <w:t xml:space="preserve"> בע"מ ואח'</w:t>
      </w:r>
      <w:r w:rsidR="0077405C">
        <w:rPr>
          <w:b/>
          <w:bCs/>
        </w:rPr>
        <w:t>●</w:t>
      </w:r>
      <w:r w:rsidR="0077405C">
        <w:rPr>
          <w:rFonts w:hint="cs"/>
          <w:b/>
          <w:bCs/>
          <w:rtl/>
        </w:rPr>
        <w:t xml:space="preserve"> </w:t>
      </w:r>
      <w:r w:rsidR="0077405C">
        <w:rPr>
          <w:rFonts w:hint="cs"/>
          <w:rtl/>
        </w:rPr>
        <w:t xml:space="preserve">בפני כב' השופט </w:t>
      </w:r>
      <w:r>
        <w:rPr>
          <w:rFonts w:hint="cs"/>
          <w:rtl/>
        </w:rPr>
        <w:t>דניאל גולדברג</w:t>
      </w:r>
      <w:r w:rsidR="0077405C">
        <w:rPr>
          <w:rFonts w:hint="cs"/>
          <w:rtl/>
        </w:rPr>
        <w:t xml:space="preserve"> </w:t>
      </w:r>
      <w:r w:rsidRPr="002D22CF">
        <w:rPr>
          <w:rFonts w:ascii="Arial" w:hAnsi="Arial" w:hint="cs"/>
          <w:rtl/>
        </w:rPr>
        <w:t xml:space="preserve">(מיום </w:t>
      </w:r>
      <w:r>
        <w:rPr>
          <w:rFonts w:ascii="Arial" w:hAnsi="Arial" w:hint="cs"/>
          <w:rtl/>
        </w:rPr>
        <w:t>29</w:t>
      </w:r>
      <w:r w:rsidRPr="002D22CF">
        <w:rPr>
          <w:rFonts w:ascii="Arial" w:hAnsi="Arial" w:hint="cs"/>
          <w:rtl/>
        </w:rPr>
        <w:t>.07.2015)</w:t>
      </w:r>
    </w:p>
    <w:p w:rsidR="0077405C" w:rsidRDefault="0077405C" w:rsidP="0077405C">
      <w:pPr>
        <w:spacing w:line="360" w:lineRule="auto"/>
        <w:ind w:left="52" w:firstLine="0"/>
        <w:rPr>
          <w:b/>
          <w:bCs/>
          <w:sz w:val="28"/>
          <w:szCs w:val="28"/>
          <w:highlight w:val="yellow"/>
          <w:rtl/>
        </w:rPr>
      </w:pPr>
    </w:p>
    <w:p w:rsidR="0077405C" w:rsidRDefault="0077405C" w:rsidP="0077405C">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left="507" w:right="-290" w:hanging="687"/>
        <w:jc w:val="center"/>
        <w:outlineLvl w:val="0"/>
        <w:rPr>
          <w:b/>
          <w:bCs/>
          <w:color w:val="FFFFFF"/>
          <w:szCs w:val="28"/>
          <w:rtl/>
        </w:rPr>
      </w:pPr>
      <w:r>
        <w:rPr>
          <w:rFonts w:hint="cs"/>
          <w:b/>
          <w:bCs/>
          <w:color w:val="FFFFFF"/>
          <w:sz w:val="32"/>
          <w:szCs w:val="28"/>
          <w:rtl/>
        </w:rPr>
        <w:t>לפסיקה המלאה ניתן לפנות לאתר</w:t>
      </w:r>
      <w:hyperlink r:id="rId10" w:history="1">
        <w:r>
          <w:rPr>
            <w:rStyle w:val="Hyperlink"/>
            <w:rFonts w:hint="default"/>
            <w:b/>
            <w:bCs/>
            <w:color w:val="FFFFFF"/>
            <w:sz w:val="32"/>
            <w:szCs w:val="28"/>
            <w:rtl/>
          </w:rPr>
          <w:t xml:space="preserve"> </w:t>
        </w:r>
        <w:r>
          <w:rPr>
            <w:rStyle w:val="Hyperlink"/>
            <w:rFonts w:hint="default"/>
            <w:b/>
            <w:bCs/>
            <w:color w:val="FFFFFF"/>
            <w:sz w:val="28"/>
            <w:szCs w:val="28"/>
          </w:rPr>
          <w:t>www.nevo.co.il</w:t>
        </w:r>
      </w:hyperlink>
      <w:r>
        <w:rPr>
          <w:rFonts w:hint="cs"/>
          <w:b/>
          <w:bCs/>
          <w:color w:val="FFFFFF"/>
          <w:sz w:val="32"/>
          <w:szCs w:val="28"/>
          <w:rtl/>
        </w:rPr>
        <w:t xml:space="preserve"> או </w:t>
      </w:r>
      <w:r>
        <w:rPr>
          <w:rFonts w:hint="cs"/>
          <w:b/>
          <w:bCs/>
          <w:color w:val="FFFFFF"/>
          <w:sz w:val="28"/>
          <w:szCs w:val="28"/>
          <w:rtl/>
        </w:rPr>
        <w:t xml:space="preserve">לאתר </w:t>
      </w:r>
      <w:hyperlink r:id="rId11" w:history="1">
        <w:r>
          <w:rPr>
            <w:rStyle w:val="Hyperlink"/>
            <w:rFonts w:hint="default"/>
            <w:b/>
            <w:bCs/>
            <w:color w:val="FFFFFF"/>
            <w:sz w:val="28"/>
            <w:szCs w:val="28"/>
          </w:rPr>
          <w:t>www.court.gov.il</w:t>
        </w:r>
      </w:hyperlink>
    </w:p>
    <w:p w:rsidR="0077405C" w:rsidRDefault="0077405C" w:rsidP="0077405C">
      <w:pPr>
        <w:tabs>
          <w:tab w:val="clear" w:pos="0"/>
          <w:tab w:val="left" w:pos="90"/>
          <w:tab w:val="left" w:pos="392"/>
        </w:tabs>
        <w:ind w:left="-118" w:right="-180" w:firstLine="0"/>
        <w:rPr>
          <w:rFonts w:ascii="David" w:hAnsi="David"/>
          <w:sz w:val="22"/>
          <w:szCs w:val="22"/>
          <w:rtl/>
        </w:rPr>
      </w:pPr>
      <w:r>
        <w:rPr>
          <w:rFonts w:hint="cs"/>
          <w:noProof/>
          <w:rtl/>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103505</wp:posOffset>
            </wp:positionV>
            <wp:extent cx="3312160" cy="737235"/>
            <wp:effectExtent l="0" t="0" r="2540" b="5715"/>
            <wp:wrapSquare wrapText="left"/>
            <wp:docPr id="1" name="תמונה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מונה חדש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pic:spPr>
                </pic:pic>
              </a:graphicData>
            </a:graphic>
            <wp14:sizeRelH relativeFrom="page">
              <wp14:pctWidth>0</wp14:pctWidth>
            </wp14:sizeRelH>
            <wp14:sizeRelV relativeFrom="page">
              <wp14:pctHeight>0</wp14:pctHeight>
            </wp14:sizeRelV>
          </wp:anchor>
        </w:drawing>
      </w:r>
    </w:p>
    <w:p w:rsidR="0077405C" w:rsidRDefault="0077405C" w:rsidP="0077405C">
      <w:pPr>
        <w:tabs>
          <w:tab w:val="clear" w:pos="0"/>
          <w:tab w:val="left" w:pos="90"/>
          <w:tab w:val="left" w:pos="392"/>
        </w:tabs>
        <w:ind w:left="-118" w:right="-180" w:firstLine="0"/>
        <w:jc w:val="left"/>
        <w:rPr>
          <w:rFonts w:ascii="David" w:hAnsi="David"/>
          <w:sz w:val="22"/>
          <w:szCs w:val="22"/>
          <w:rtl/>
        </w:rPr>
      </w:pPr>
      <w:r>
        <w:rPr>
          <w:rFonts w:ascii="David" w:hAnsi="David" w:hint="cs"/>
          <w:sz w:val="22"/>
          <w:szCs w:val="22"/>
          <w:rtl/>
        </w:rPr>
        <w:br w:type="textWrapping" w:clear="all"/>
      </w:r>
    </w:p>
    <w:p w:rsidR="0077405C" w:rsidRDefault="001838AE" w:rsidP="0077405C">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left="507" w:right="-290" w:hanging="687"/>
        <w:jc w:val="center"/>
        <w:outlineLvl w:val="0"/>
        <w:rPr>
          <w:b/>
          <w:bCs/>
          <w:color w:val="FFFFFF"/>
          <w:szCs w:val="28"/>
          <w:rtl/>
        </w:rPr>
      </w:pPr>
      <w:hyperlink r:id="rId13" w:history="1">
        <w:r w:rsidR="0077405C">
          <w:rPr>
            <w:rStyle w:val="Hyperlink"/>
            <w:rFonts w:hint="default"/>
            <w:b/>
            <w:bCs/>
            <w:color w:val="FFFFFF"/>
            <w:szCs w:val="28"/>
            <w:rtl/>
          </w:rPr>
          <w:t>לחץ כאן</w:t>
        </w:r>
      </w:hyperlink>
      <w:r w:rsidR="0077405C">
        <w:rPr>
          <w:rFonts w:hint="cs"/>
          <w:b/>
          <w:bCs/>
          <w:color w:val="FFFFFF"/>
          <w:szCs w:val="28"/>
          <w:rtl/>
        </w:rPr>
        <w:t xml:space="preserve"> לצפייה באתר </w:t>
      </w:r>
      <w:proofErr w:type="spellStart"/>
      <w:r w:rsidR="0077405C">
        <w:rPr>
          <w:rFonts w:hint="cs"/>
          <w:b/>
          <w:bCs/>
          <w:color w:val="FFFFFF"/>
          <w:szCs w:val="28"/>
          <w:rtl/>
        </w:rPr>
        <w:t>ברנזון</w:t>
      </w:r>
      <w:proofErr w:type="spellEnd"/>
      <w:r w:rsidR="0077405C">
        <w:rPr>
          <w:rFonts w:hint="cs"/>
          <w:b/>
          <w:bCs/>
          <w:color w:val="FFFFFF"/>
          <w:szCs w:val="28"/>
          <w:rtl/>
        </w:rPr>
        <w:t xml:space="preserve"> החדש ולרישום לקבלת </w:t>
      </w:r>
      <w:proofErr w:type="spellStart"/>
      <w:r w:rsidR="0077405C">
        <w:rPr>
          <w:rFonts w:hint="cs"/>
          <w:b/>
          <w:bCs/>
          <w:color w:val="FFFFFF"/>
          <w:szCs w:val="28"/>
          <w:rtl/>
        </w:rPr>
        <w:t>דיוורים</w:t>
      </w:r>
      <w:proofErr w:type="spellEnd"/>
    </w:p>
    <w:p w:rsidR="0077405C" w:rsidRDefault="0077405C" w:rsidP="0077405C">
      <w:pPr>
        <w:pStyle w:val="1"/>
        <w:ind w:left="-492" w:right="-360" w:firstLine="180"/>
        <w:jc w:val="center"/>
        <w:rPr>
          <w:rFonts w:cs="Hayim"/>
          <w:spacing w:val="-5"/>
          <w:sz w:val="28"/>
          <w:szCs w:val="28"/>
        </w:rPr>
      </w:pPr>
    </w:p>
    <w:p w:rsidR="0077405C" w:rsidRDefault="0077405C" w:rsidP="0077405C">
      <w:pPr>
        <w:pStyle w:val="1"/>
        <w:ind w:left="-492" w:right="-360" w:firstLine="180"/>
        <w:rPr>
          <w:rFonts w:cs="Hayim"/>
          <w:spacing w:val="-5"/>
          <w:sz w:val="24"/>
          <w:rtl/>
        </w:rPr>
      </w:pPr>
      <w:r>
        <w:rPr>
          <w:rFonts w:cs="Times New Roman" w:hint="cs"/>
          <w:spacing w:val="-5"/>
          <w:sz w:val="24"/>
          <w:rtl/>
        </w:rPr>
        <w:t>חיים</w:t>
      </w:r>
      <w:r>
        <w:rPr>
          <w:rFonts w:cs="Hayim" w:hint="cs"/>
          <w:spacing w:val="-5"/>
          <w:sz w:val="24"/>
          <w:rtl/>
        </w:rPr>
        <w:t xml:space="preserve"> </w:t>
      </w:r>
      <w:proofErr w:type="spellStart"/>
      <w:r>
        <w:rPr>
          <w:rFonts w:cs="Times New Roman" w:hint="cs"/>
          <w:spacing w:val="-5"/>
          <w:sz w:val="24"/>
          <w:rtl/>
        </w:rPr>
        <w:t>ברנזון</w:t>
      </w:r>
      <w:proofErr w:type="spellEnd"/>
      <w:r>
        <w:rPr>
          <w:rFonts w:cs="Hayim" w:hint="cs"/>
          <w:spacing w:val="-5"/>
          <w:sz w:val="24"/>
          <w:rtl/>
        </w:rPr>
        <w:t xml:space="preserve">, </w:t>
      </w:r>
      <w:r>
        <w:rPr>
          <w:rFonts w:cs="Times New Roman" w:hint="cs"/>
          <w:spacing w:val="-5"/>
          <w:sz w:val="24"/>
          <w:rtl/>
        </w:rPr>
        <w:t>משרד</w:t>
      </w:r>
      <w:r>
        <w:rPr>
          <w:rFonts w:cs="Hayim" w:hint="cs"/>
          <w:spacing w:val="-5"/>
          <w:sz w:val="24"/>
          <w:rtl/>
        </w:rPr>
        <w:t xml:space="preserve"> </w:t>
      </w:r>
      <w:r>
        <w:rPr>
          <w:rFonts w:cs="Times New Roman" w:hint="cs"/>
          <w:spacing w:val="-5"/>
          <w:sz w:val="24"/>
          <w:rtl/>
        </w:rPr>
        <w:t>עורכי</w:t>
      </w:r>
      <w:r>
        <w:rPr>
          <w:rFonts w:cs="Hayim" w:hint="cs"/>
          <w:spacing w:val="-5"/>
          <w:sz w:val="24"/>
          <w:rtl/>
        </w:rPr>
        <w:t xml:space="preserve"> </w:t>
      </w:r>
      <w:r>
        <w:rPr>
          <w:rFonts w:cs="Times New Roman" w:hint="cs"/>
          <w:spacing w:val="-5"/>
          <w:sz w:val="24"/>
          <w:rtl/>
        </w:rPr>
        <w:t>דין</w:t>
      </w:r>
      <w:r>
        <w:rPr>
          <w:rFonts w:cs="Hayim" w:hint="cs"/>
          <w:spacing w:val="-5"/>
          <w:sz w:val="24"/>
          <w:rtl/>
        </w:rPr>
        <w:t xml:space="preserve">, </w:t>
      </w:r>
      <w:r>
        <w:rPr>
          <w:rFonts w:cs="Times New Roman" w:hint="cs"/>
          <w:spacing w:val="-5"/>
          <w:sz w:val="24"/>
          <w:rtl/>
        </w:rPr>
        <w:t>חבצלת</w:t>
      </w:r>
      <w:r>
        <w:rPr>
          <w:rFonts w:cs="Hayim" w:hint="cs"/>
          <w:spacing w:val="-5"/>
          <w:sz w:val="24"/>
          <w:rtl/>
        </w:rPr>
        <w:t xml:space="preserve"> </w:t>
      </w:r>
      <w:r>
        <w:rPr>
          <w:rFonts w:cs="Times New Roman" w:hint="cs"/>
          <w:spacing w:val="-5"/>
          <w:sz w:val="24"/>
          <w:rtl/>
        </w:rPr>
        <w:t>השרון</w:t>
      </w:r>
      <w:r>
        <w:rPr>
          <w:rFonts w:cs="Hayim" w:hint="cs"/>
          <w:spacing w:val="-5"/>
          <w:sz w:val="24"/>
          <w:rtl/>
        </w:rPr>
        <w:t xml:space="preserve"> 60, </w:t>
      </w:r>
      <w:r>
        <w:rPr>
          <w:rFonts w:cs="Times New Roman" w:hint="cs"/>
          <w:spacing w:val="-5"/>
          <w:sz w:val="24"/>
          <w:rtl/>
        </w:rPr>
        <w:t>הרצליה</w:t>
      </w:r>
      <w:r>
        <w:rPr>
          <w:rFonts w:cs="Hayim" w:hint="cs"/>
          <w:spacing w:val="-5"/>
          <w:sz w:val="24"/>
          <w:rtl/>
        </w:rPr>
        <w:t xml:space="preserve"> </w:t>
      </w:r>
      <w:r>
        <w:rPr>
          <w:rFonts w:cs="Times New Roman" w:hint="cs"/>
          <w:spacing w:val="-5"/>
          <w:sz w:val="24"/>
          <w:rtl/>
        </w:rPr>
        <w:t>פיתוח</w:t>
      </w:r>
      <w:r>
        <w:rPr>
          <w:rFonts w:cs="Hayim" w:hint="cs"/>
          <w:spacing w:val="-5"/>
          <w:sz w:val="24"/>
          <w:rtl/>
        </w:rPr>
        <w:t xml:space="preserve"> 4674720, </w:t>
      </w:r>
      <w:r>
        <w:rPr>
          <w:rFonts w:cs="Times New Roman" w:hint="cs"/>
          <w:spacing w:val="-5"/>
          <w:sz w:val="24"/>
          <w:rtl/>
        </w:rPr>
        <w:t>טל</w:t>
      </w:r>
      <w:r>
        <w:rPr>
          <w:rFonts w:cs="Hayim" w:hint="cs"/>
          <w:spacing w:val="-5"/>
          <w:sz w:val="24"/>
          <w:rtl/>
        </w:rPr>
        <w:t xml:space="preserve">': 09-9568339, </w:t>
      </w:r>
      <w:r>
        <w:rPr>
          <w:rFonts w:cs="Times New Roman" w:hint="cs"/>
          <w:spacing w:val="-5"/>
          <w:sz w:val="24"/>
          <w:rtl/>
        </w:rPr>
        <w:t>פקס</w:t>
      </w:r>
      <w:r>
        <w:rPr>
          <w:rFonts w:cs="Hayim" w:hint="cs"/>
          <w:spacing w:val="-5"/>
          <w:sz w:val="24"/>
          <w:rtl/>
        </w:rPr>
        <w:t>: 09-9509129</w:t>
      </w:r>
    </w:p>
    <w:p w:rsidR="000D2A89" w:rsidRDefault="000D2A89"/>
    <w:sectPr w:rsidR="000D2A89" w:rsidSect="00EC10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Hayim">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977"/>
    <w:multiLevelType w:val="hybridMultilevel"/>
    <w:tmpl w:val="F572CB2C"/>
    <w:lvl w:ilvl="0" w:tplc="D68E7EC2">
      <w:start w:val="1"/>
      <w:numFmt w:val="decimal"/>
      <w:lvlText w:val="%1."/>
      <w:lvlJc w:val="left"/>
      <w:pPr>
        <w:ind w:left="52" w:hanging="360"/>
      </w:pPr>
      <w:rPr>
        <w:b/>
        <w:bCs/>
        <w:color w:val="002060"/>
        <w:sz w:val="32"/>
        <w:szCs w:val="32"/>
      </w:rPr>
    </w:lvl>
    <w:lvl w:ilvl="1" w:tplc="04090019">
      <w:start w:val="1"/>
      <w:numFmt w:val="lowerLetter"/>
      <w:lvlText w:val="%2."/>
      <w:lvlJc w:val="left"/>
      <w:pPr>
        <w:ind w:left="772" w:hanging="360"/>
      </w:pPr>
    </w:lvl>
    <w:lvl w:ilvl="2" w:tplc="0409001B">
      <w:start w:val="1"/>
      <w:numFmt w:val="lowerRoman"/>
      <w:lvlText w:val="%3."/>
      <w:lvlJc w:val="right"/>
      <w:pPr>
        <w:ind w:left="1492" w:hanging="180"/>
      </w:pPr>
    </w:lvl>
    <w:lvl w:ilvl="3" w:tplc="0409000F">
      <w:start w:val="1"/>
      <w:numFmt w:val="decimal"/>
      <w:lvlText w:val="%4."/>
      <w:lvlJc w:val="left"/>
      <w:pPr>
        <w:ind w:left="2212" w:hanging="360"/>
      </w:pPr>
    </w:lvl>
    <w:lvl w:ilvl="4" w:tplc="04090019">
      <w:start w:val="1"/>
      <w:numFmt w:val="lowerLetter"/>
      <w:lvlText w:val="%5."/>
      <w:lvlJc w:val="left"/>
      <w:pPr>
        <w:ind w:left="2932" w:hanging="360"/>
      </w:pPr>
    </w:lvl>
    <w:lvl w:ilvl="5" w:tplc="0409001B">
      <w:start w:val="1"/>
      <w:numFmt w:val="lowerRoman"/>
      <w:lvlText w:val="%6."/>
      <w:lvlJc w:val="right"/>
      <w:pPr>
        <w:ind w:left="3652" w:hanging="180"/>
      </w:pPr>
    </w:lvl>
    <w:lvl w:ilvl="6" w:tplc="0409000F">
      <w:start w:val="1"/>
      <w:numFmt w:val="decimal"/>
      <w:lvlText w:val="%7."/>
      <w:lvlJc w:val="left"/>
      <w:pPr>
        <w:ind w:left="4372" w:hanging="360"/>
      </w:pPr>
    </w:lvl>
    <w:lvl w:ilvl="7" w:tplc="04090019">
      <w:start w:val="1"/>
      <w:numFmt w:val="lowerLetter"/>
      <w:lvlText w:val="%8."/>
      <w:lvlJc w:val="left"/>
      <w:pPr>
        <w:ind w:left="5092" w:hanging="360"/>
      </w:pPr>
    </w:lvl>
    <w:lvl w:ilvl="8" w:tplc="0409001B">
      <w:start w:val="1"/>
      <w:numFmt w:val="lowerRoman"/>
      <w:lvlText w:val="%9."/>
      <w:lvlJc w:val="right"/>
      <w:pPr>
        <w:ind w:left="58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5C"/>
    <w:rsid w:val="00097B9F"/>
    <w:rsid w:val="000D20E4"/>
    <w:rsid w:val="000D2A89"/>
    <w:rsid w:val="001838AE"/>
    <w:rsid w:val="002042C4"/>
    <w:rsid w:val="002516EA"/>
    <w:rsid w:val="002B662B"/>
    <w:rsid w:val="002E3569"/>
    <w:rsid w:val="00394969"/>
    <w:rsid w:val="004C1857"/>
    <w:rsid w:val="005033B3"/>
    <w:rsid w:val="006979EC"/>
    <w:rsid w:val="006D0263"/>
    <w:rsid w:val="006F384A"/>
    <w:rsid w:val="0077405C"/>
    <w:rsid w:val="007A70C4"/>
    <w:rsid w:val="007C6673"/>
    <w:rsid w:val="00803FE9"/>
    <w:rsid w:val="00853484"/>
    <w:rsid w:val="008C3639"/>
    <w:rsid w:val="008E0A23"/>
    <w:rsid w:val="008E204A"/>
    <w:rsid w:val="00A631D8"/>
    <w:rsid w:val="00B573BA"/>
    <w:rsid w:val="00BF76B1"/>
    <w:rsid w:val="00C62C82"/>
    <w:rsid w:val="00C94850"/>
    <w:rsid w:val="00D54C38"/>
    <w:rsid w:val="00D80810"/>
    <w:rsid w:val="00DB1F0E"/>
    <w:rsid w:val="00E61B6D"/>
    <w:rsid w:val="00EA4662"/>
    <w:rsid w:val="00EC1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5C"/>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77405C"/>
    <w:rPr>
      <w:rFonts w:cs="Miriam" w:hint="cs"/>
      <w:color w:val="0000FF"/>
      <w:u w:val="single"/>
      <w:lang w:bidi="he-IL"/>
    </w:rPr>
  </w:style>
  <w:style w:type="paragraph" w:styleId="a3">
    <w:name w:val="header"/>
    <w:basedOn w:val="a"/>
    <w:link w:val="a4"/>
    <w:semiHidden/>
    <w:unhideWhenUsed/>
    <w:rsid w:val="0077405C"/>
    <w:pPr>
      <w:tabs>
        <w:tab w:val="clear" w:pos="0"/>
        <w:tab w:val="center" w:pos="4153"/>
        <w:tab w:val="right" w:pos="8306"/>
      </w:tabs>
      <w:ind w:left="0" w:firstLine="0"/>
      <w:jc w:val="left"/>
    </w:pPr>
    <w:rPr>
      <w:rFonts w:eastAsia="Times New Roman"/>
      <w:noProof/>
    </w:rPr>
  </w:style>
  <w:style w:type="character" w:customStyle="1" w:styleId="a4">
    <w:name w:val="כותרת עליונה תו"/>
    <w:basedOn w:val="a0"/>
    <w:link w:val="a3"/>
    <w:semiHidden/>
    <w:rsid w:val="0077405C"/>
    <w:rPr>
      <w:rFonts w:ascii="Times New Roman" w:eastAsia="Times New Roman" w:hAnsi="Times New Roman" w:cs="David"/>
      <w:noProof/>
      <w:sz w:val="24"/>
      <w:szCs w:val="24"/>
    </w:rPr>
  </w:style>
  <w:style w:type="paragraph" w:customStyle="1" w:styleId="1">
    <w:name w:val="רגיל1"/>
    <w:rsid w:val="0077405C"/>
    <w:pPr>
      <w:bidi/>
      <w:snapToGrid w:val="0"/>
      <w:spacing w:after="0" w:line="240" w:lineRule="auto"/>
    </w:pPr>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5C"/>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77405C"/>
    <w:rPr>
      <w:rFonts w:cs="Miriam" w:hint="cs"/>
      <w:color w:val="0000FF"/>
      <w:u w:val="single"/>
      <w:lang w:bidi="he-IL"/>
    </w:rPr>
  </w:style>
  <w:style w:type="paragraph" w:styleId="a3">
    <w:name w:val="header"/>
    <w:basedOn w:val="a"/>
    <w:link w:val="a4"/>
    <w:semiHidden/>
    <w:unhideWhenUsed/>
    <w:rsid w:val="0077405C"/>
    <w:pPr>
      <w:tabs>
        <w:tab w:val="clear" w:pos="0"/>
        <w:tab w:val="center" w:pos="4153"/>
        <w:tab w:val="right" w:pos="8306"/>
      </w:tabs>
      <w:ind w:left="0" w:firstLine="0"/>
      <w:jc w:val="left"/>
    </w:pPr>
    <w:rPr>
      <w:rFonts w:eastAsia="Times New Roman"/>
      <w:noProof/>
    </w:rPr>
  </w:style>
  <w:style w:type="character" w:customStyle="1" w:styleId="a4">
    <w:name w:val="כותרת עליונה תו"/>
    <w:basedOn w:val="a0"/>
    <w:link w:val="a3"/>
    <w:semiHidden/>
    <w:rsid w:val="0077405C"/>
    <w:rPr>
      <w:rFonts w:ascii="Times New Roman" w:eastAsia="Times New Roman" w:hAnsi="Times New Roman" w:cs="David"/>
      <w:noProof/>
      <w:sz w:val="24"/>
      <w:szCs w:val="24"/>
    </w:rPr>
  </w:style>
  <w:style w:type="paragraph" w:customStyle="1" w:styleId="1">
    <w:name w:val="רגיל1"/>
    <w:rsid w:val="0077405C"/>
    <w:pPr>
      <w:bidi/>
      <w:snapToGrid w:val="0"/>
      <w:spacing w:after="0" w:line="240" w:lineRule="auto"/>
    </w:pPr>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webydo.com/12/123940/3958/%D7%9C%D7%95%D7%92%D7%95-%D7%A0%D7%92%D7%98%D7%99%D7%91.png?v=44624101212" TargetMode="External"/><Relationship Id="rId13" Type="http://schemas.openxmlformats.org/officeDocument/2006/relationships/hyperlink" Target="http://bernzon.kidumnet.co.il/contact_rtl.html?v=4462410121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o.co.i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592</Words>
  <Characters>2960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2015-08-16T08:25:00Z</cp:lastPrinted>
  <dcterms:created xsi:type="dcterms:W3CDTF">2015-08-13T14:50:00Z</dcterms:created>
  <dcterms:modified xsi:type="dcterms:W3CDTF">2015-08-30T05:55:00Z</dcterms:modified>
</cp:coreProperties>
</file>