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EA" w:rsidRDefault="00563FEA">
      <w:pPr>
        <w:rPr>
          <w:rFonts w:ascii="Arial" w:hAnsi="Arial" w:cs="Arial"/>
          <w:color w:val="000000"/>
          <w:sz w:val="18"/>
          <w:szCs w:val="18"/>
          <w:shd w:val="clear" w:color="auto" w:fill="FAFAFA"/>
          <w:rtl/>
        </w:rPr>
      </w:pPr>
    </w:p>
    <w:p w:rsidR="00563FEA" w:rsidRPr="001A6B0E" w:rsidRDefault="00563FEA" w:rsidP="00563FE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b/>
          <w:bCs/>
          <w:noProof/>
          <w:sz w:val="24"/>
          <w:szCs w:val="28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E9A2C2" wp14:editId="5F15C71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09265" cy="659130"/>
            <wp:effectExtent l="0" t="0" r="635" b="7620"/>
            <wp:wrapNone/>
            <wp:docPr id="1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avi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82A1CD" wp14:editId="6B863260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764155" cy="818515"/>
            <wp:effectExtent l="0" t="0" r="0" b="0"/>
            <wp:wrapNone/>
            <wp:docPr id="2" name="תמונה 2" descr="http://images.webydo.com/12/123940/3958/%D7%9C%D7%95%D7%92%D7%95-%D7%A0%D7%92%D7%98%D7%99%D7%91.png?v=4462410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webydo.com/12/123940/3958/%D7%9C%D7%95%D7%92%D7%95-%D7%A0%D7%92%D7%98%D7%99%D7%91.png?v=4462410121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B0E">
        <w:rPr>
          <w:rFonts w:ascii="Times New Roman" w:eastAsia="Times New Roman" w:hAnsi="Times New Roman" w:cs="David" w:hint="cs"/>
          <w:b/>
          <w:bCs/>
          <w:noProof/>
          <w:sz w:val="24"/>
          <w:szCs w:val="28"/>
          <w:rtl/>
        </w:rPr>
        <w:t xml:space="preserve">                                                                                             </w:t>
      </w:r>
    </w:p>
    <w:p w:rsidR="00563FEA" w:rsidRPr="001A6B0E" w:rsidRDefault="00563FEA" w:rsidP="00563FE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33333"/>
          <w:sz w:val="24"/>
          <w:szCs w:val="28"/>
          <w:rtl/>
        </w:rPr>
      </w:pPr>
      <w:r w:rsidRPr="001A6B0E">
        <w:rPr>
          <w:rFonts w:ascii="Times New Roman" w:eastAsia="Times New Roman" w:hAnsi="Times New Roman" w:cs="David" w:hint="cs"/>
          <w:b/>
          <w:bCs/>
          <w:noProof/>
          <w:color w:val="333333"/>
          <w:sz w:val="24"/>
          <w:szCs w:val="28"/>
          <w:rtl/>
        </w:rPr>
        <w:t xml:space="preserve">                                                                                                      משרד בוטיק בדיני עבודה</w:t>
      </w:r>
    </w:p>
    <w:p w:rsidR="00563FEA" w:rsidRPr="001A6B0E" w:rsidRDefault="00563FEA" w:rsidP="00563FE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:rsidR="00563FEA" w:rsidRPr="001A6B0E" w:rsidRDefault="00563FEA" w:rsidP="00563FE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:rsidR="00563FEA" w:rsidRPr="001A6B0E" w:rsidRDefault="00563FEA" w:rsidP="00563FE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:rsidR="00563FEA" w:rsidRPr="001A6B0E" w:rsidRDefault="00563FEA" w:rsidP="00AD6CC9">
      <w:pPr>
        <w:pBdr>
          <w:top w:val="thickThinMediumGap" w:sz="24" w:space="2" w:color="808080"/>
          <w:left w:val="thickThinMediumGap" w:sz="24" w:space="0" w:color="808080"/>
          <w:bottom w:val="thickThinMediumGap" w:sz="24" w:space="0" w:color="808080"/>
          <w:right w:val="thickThinMediumGap" w:sz="24" w:space="0" w:color="808080"/>
        </w:pBdr>
        <w:tabs>
          <w:tab w:val="left" w:pos="0"/>
          <w:tab w:val="left" w:pos="1416"/>
          <w:tab w:val="right" w:pos="10205"/>
        </w:tabs>
        <w:spacing w:after="0" w:line="240" w:lineRule="auto"/>
        <w:ind w:left="397" w:right="-180" w:hanging="687"/>
        <w:jc w:val="center"/>
        <w:outlineLvl w:val="0"/>
        <w:rPr>
          <w:rFonts w:ascii="Times New Roman" w:eastAsia="Calibri" w:hAnsi="Times New Roman" w:cs="David"/>
          <w:b/>
          <w:bCs/>
          <w:color w:val="000080"/>
          <w:sz w:val="32"/>
          <w:szCs w:val="32"/>
          <w:rtl/>
        </w:rPr>
      </w:pPr>
      <w:r w:rsidRPr="001A6B0E">
        <w:rPr>
          <w:rFonts w:ascii="Times New Roman" w:eastAsia="Calibri" w:hAnsi="Times New Roman" w:cs="David" w:hint="cs"/>
          <w:b/>
          <w:bCs/>
          <w:color w:val="000080"/>
          <w:sz w:val="32"/>
          <w:szCs w:val="32"/>
          <w:rtl/>
        </w:rPr>
        <w:t>עדכון פסיקה שבועי מס' 55</w:t>
      </w:r>
      <w:r w:rsidR="00AD6CC9">
        <w:rPr>
          <w:rFonts w:ascii="Times New Roman" w:eastAsia="Calibri" w:hAnsi="Times New Roman" w:cs="David" w:hint="cs"/>
          <w:b/>
          <w:bCs/>
          <w:color w:val="000080"/>
          <w:sz w:val="32"/>
          <w:szCs w:val="32"/>
          <w:rtl/>
        </w:rPr>
        <w:t>6</w:t>
      </w:r>
      <w:r w:rsidRPr="001A6B0E">
        <w:rPr>
          <w:rFonts w:ascii="Times New Roman" w:eastAsia="Calibri" w:hAnsi="Times New Roman" w:cs="David" w:hint="cs"/>
          <w:b/>
          <w:bCs/>
          <w:color w:val="000080"/>
          <w:sz w:val="32"/>
          <w:szCs w:val="32"/>
          <w:rtl/>
        </w:rPr>
        <w:t xml:space="preserve"> </w:t>
      </w:r>
      <w:r w:rsidRPr="001A6B0E">
        <w:rPr>
          <w:rFonts w:ascii="Times New Roman" w:eastAsia="Calibri" w:hAnsi="Times New Roman" w:cs="David"/>
          <w:b/>
          <w:bCs/>
          <w:color w:val="000080"/>
          <w:sz w:val="32"/>
          <w:szCs w:val="32"/>
          <w:rtl/>
        </w:rPr>
        <w:t>–</w:t>
      </w:r>
      <w:r w:rsidRPr="001A6B0E">
        <w:rPr>
          <w:rFonts w:ascii="Times New Roman" w:eastAsia="Calibri" w:hAnsi="Times New Roman" w:cs="David" w:hint="cs"/>
          <w:b/>
          <w:bCs/>
          <w:color w:val="000080"/>
          <w:sz w:val="32"/>
          <w:szCs w:val="32"/>
          <w:rtl/>
        </w:rPr>
        <w:t xml:space="preserve"> </w:t>
      </w:r>
      <w:r w:rsidR="00AD6CC9">
        <w:rPr>
          <w:rFonts w:ascii="Times New Roman" w:eastAsia="Calibri" w:hAnsi="Times New Roman" w:cs="David" w:hint="cs"/>
          <w:b/>
          <w:bCs/>
          <w:color w:val="000080"/>
          <w:sz w:val="32"/>
          <w:szCs w:val="32"/>
          <w:rtl/>
        </w:rPr>
        <w:t>23</w:t>
      </w:r>
      <w:r w:rsidRPr="001A6B0E">
        <w:rPr>
          <w:rFonts w:ascii="Times New Roman" w:eastAsia="Calibri" w:hAnsi="Times New Roman" w:cs="David" w:hint="cs"/>
          <w:b/>
          <w:bCs/>
          <w:color w:val="000080"/>
          <w:sz w:val="32"/>
          <w:szCs w:val="32"/>
          <w:rtl/>
        </w:rPr>
        <w:t>.8.15</w:t>
      </w: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397" w:hanging="397"/>
        <w:jc w:val="both"/>
        <w:rPr>
          <w:rFonts w:ascii="Arial" w:eastAsia="Times New Roman" w:hAnsi="Arial" w:cs="David"/>
          <w:b/>
          <w:bCs/>
          <w:color w:val="FFFFFF"/>
          <w:sz w:val="32"/>
          <w:szCs w:val="36"/>
          <w:u w:val="single"/>
        </w:rPr>
      </w:pPr>
      <w:r>
        <w:rPr>
          <w:rFonts w:ascii="Times New Roman" w:eastAsia="Calibri" w:hAnsi="Times New Roman" w:cs="Davi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478536" wp14:editId="50CE3784">
            <wp:simplePos x="0" y="0"/>
            <wp:positionH relativeFrom="column">
              <wp:posOffset>-182880</wp:posOffset>
            </wp:positionH>
            <wp:positionV relativeFrom="paragraph">
              <wp:posOffset>177165</wp:posOffset>
            </wp:positionV>
            <wp:extent cx="6172200" cy="1189990"/>
            <wp:effectExtent l="0" t="0" r="0" b="0"/>
            <wp:wrapNone/>
            <wp:docPr id="3" name="תמונה 3" descr="sit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e str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color w:val="FFFFFF"/>
          <w:sz w:val="32"/>
          <w:szCs w:val="36"/>
          <w:u w:val="single"/>
        </w:rPr>
      </w:pP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color w:val="FFFFFF"/>
          <w:sz w:val="32"/>
          <w:szCs w:val="36"/>
          <w:u w:val="single"/>
        </w:rPr>
      </w:pP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color w:val="FFFFFF"/>
          <w:sz w:val="32"/>
          <w:szCs w:val="36"/>
          <w:u w:val="single"/>
          <w:rtl/>
        </w:rPr>
      </w:pP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sz w:val="32"/>
          <w:szCs w:val="36"/>
          <w:u w:val="single"/>
          <w:rtl/>
        </w:rPr>
      </w:pP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sz w:val="32"/>
          <w:szCs w:val="36"/>
          <w:u w:val="single"/>
          <w:rtl/>
        </w:rPr>
      </w:pP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sz w:val="32"/>
          <w:szCs w:val="36"/>
          <w:u w:val="single"/>
          <w:rtl/>
        </w:rPr>
      </w:pPr>
    </w:p>
    <w:p w:rsidR="00563FEA" w:rsidRPr="001A6B0E" w:rsidRDefault="00563FEA" w:rsidP="00AD6CC9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cs="David" w:hint="cs"/>
          <w:b/>
          <w:bCs/>
          <w:sz w:val="32"/>
          <w:szCs w:val="36"/>
          <w:u w:val="single"/>
          <w:rtl/>
        </w:rPr>
        <w:t xml:space="preserve">בית המשפט העליון </w:t>
      </w:r>
    </w:p>
    <w:p w:rsidR="00563FEA" w:rsidRPr="001A6B0E" w:rsidRDefault="00563FEA" w:rsidP="00563FEA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sz w:val="32"/>
          <w:szCs w:val="36"/>
          <w:u w:val="single"/>
          <w:rtl/>
        </w:rPr>
      </w:pPr>
    </w:p>
    <w:p w:rsidR="00563FEA" w:rsidRPr="001A6B0E" w:rsidRDefault="00A42AC4" w:rsidP="00A42AC4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David"/>
          <w:b/>
          <w:bCs/>
          <w:color w:val="000080"/>
          <w:sz w:val="28"/>
          <w:szCs w:val="32"/>
          <w:u w:val="single"/>
        </w:rPr>
      </w:pPr>
      <w:r>
        <w:rPr>
          <w:rFonts w:ascii="Arial" w:eastAsia="Times New Roman" w:hAnsi="Arial" w:cs="David" w:hint="cs"/>
          <w:b/>
          <w:bCs/>
          <w:color w:val="000080"/>
          <w:sz w:val="28"/>
          <w:szCs w:val="32"/>
          <w:u w:val="single"/>
          <w:rtl/>
        </w:rPr>
        <w:t xml:space="preserve">החופש האקדמי </w:t>
      </w:r>
      <w:proofErr w:type="spellStart"/>
      <w:r>
        <w:rPr>
          <w:rFonts w:ascii="Arial" w:eastAsia="Times New Roman" w:hAnsi="Arial" w:cs="David" w:hint="cs"/>
          <w:b/>
          <w:bCs/>
          <w:color w:val="000080"/>
          <w:sz w:val="28"/>
          <w:szCs w:val="32"/>
          <w:u w:val="single"/>
          <w:rtl/>
        </w:rPr>
        <w:t>והמינהלי</w:t>
      </w:r>
      <w:proofErr w:type="spellEnd"/>
      <w:r>
        <w:rPr>
          <w:rFonts w:ascii="Arial" w:eastAsia="Times New Roman" w:hAnsi="Arial" w:cs="David" w:hint="cs"/>
          <w:b/>
          <w:bCs/>
          <w:color w:val="000080"/>
          <w:sz w:val="28"/>
          <w:szCs w:val="32"/>
          <w:u w:val="single"/>
          <w:rtl/>
        </w:rPr>
        <w:t xml:space="preserve"> של האוניברסיטאות קבוע בחוק אך אינו משחרר אותן מפקוח ציבורי על השכר.</w:t>
      </w:r>
    </w:p>
    <w:p w:rsidR="00563FEA" w:rsidRPr="00BF5BD0" w:rsidRDefault="00563FEA" w:rsidP="00AF2855">
      <w:pPr>
        <w:tabs>
          <w:tab w:val="left" w:pos="0"/>
        </w:tabs>
        <w:spacing w:after="0" w:line="360" w:lineRule="auto"/>
        <w:ind w:left="52"/>
        <w:rPr>
          <w:rFonts w:ascii="Times New Roman" w:eastAsia="Calibri" w:hAnsi="Times New Roman" w:cs="David"/>
          <w:b/>
          <w:bCs/>
          <w:sz w:val="28"/>
          <w:szCs w:val="28"/>
          <w:rtl/>
        </w:rPr>
      </w:pPr>
    </w:p>
    <w:p w:rsidR="00A42AC4" w:rsidRDefault="00A42AC4" w:rsidP="007F1C14">
      <w:pPr>
        <w:tabs>
          <w:tab w:val="left" w:pos="0"/>
        </w:tabs>
        <w:spacing w:after="0" w:line="360" w:lineRule="auto"/>
        <w:rPr>
          <w:rFonts w:ascii="Times New Roman" w:eastAsia="Calibri" w:hAnsi="Times New Roman" w:cs="David"/>
          <w:b/>
          <w:bCs/>
          <w:sz w:val="28"/>
          <w:szCs w:val="28"/>
          <w:u w:val="single"/>
          <w:rtl/>
        </w:rPr>
      </w:pP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בג"צ שם</w:t>
      </w:r>
      <w:r w:rsidR="003D28C2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קץ למחלוקת </w:t>
      </w:r>
      <w:r w:rsidR="007F1C1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משפטית </w:t>
      </w:r>
      <w:r w:rsidR="003D28C2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רבת השנים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בין האוניברסיטאות לבין שר האוצר והממונה על השכר באוצר</w:t>
      </w:r>
      <w:r w:rsidR="003D28C2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לגבולותיו של החופש האקדמי</w:t>
      </w:r>
      <w:r w:rsidR="005D366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,</w:t>
      </w:r>
      <w:r w:rsid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="003D28C2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ופסק ש</w:t>
      </w:r>
      <w:r w:rsidR="00C612D8" w:rsidRPr="00C612D8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אין כל סתירה </w:t>
      </w:r>
      <w:r w:rsidRPr="00C612D8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בי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ניהם. </w:t>
      </w:r>
    </w:p>
    <w:p w:rsidR="007F1C14" w:rsidRDefault="007F1C14" w:rsidP="007F1C14">
      <w:pPr>
        <w:tabs>
          <w:tab w:val="left" w:pos="0"/>
        </w:tabs>
        <w:spacing w:after="0" w:line="360" w:lineRule="auto"/>
        <w:rPr>
          <w:rFonts w:ascii="Times New Roman" w:eastAsia="Calibri" w:hAnsi="Times New Roman" w:cs="David"/>
          <w:b/>
          <w:bCs/>
          <w:sz w:val="28"/>
          <w:szCs w:val="28"/>
          <w:rtl/>
        </w:rPr>
      </w:pPr>
      <w:r w:rsidRPr="0051019B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*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מושג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החופש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האקדמי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מכוון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להיקף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גדול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של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proofErr w:type="spellStart"/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חסינויות</w:t>
      </w:r>
      <w:proofErr w:type="spellEnd"/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C22E9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של 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האוניברסיטאות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מפני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מגבלות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ערכיות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ומקצועיות</w:t>
      </w:r>
      <w:r w:rsidR="005610E9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גם 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לגופם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של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תחומי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מחקר</w:t>
      </w:r>
      <w:r w:rsidR="00A42AC4" w:rsidRPr="00AF2855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="00A42AC4" w:rsidRPr="00AF2855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והוראה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="005610E9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וגם 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להיבט המנהלי של חירות המוסד בניהול תקציבו. אולם </w:t>
      </w:r>
      <w:r w:rsidR="005610E9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חרויות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מוכרות </w:t>
      </w:r>
      <w:r w:rsidR="005610E9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אלה אינם מזכות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מוסד להשכלה גבוהה לפעול שלא בהתאם לחוק ולנורמות המחייבות. העובדה שהמוסדות להשכלה גבוהה הינם גופים ציבוריים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נתמכים הנהנים ממימון ציבורי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, 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מטיל עליהם כללים מהמשפט הציבורי תוך התאמה לאופיים המיוחד והחופש האקדמי שניתן להם. חופש זה אין משמעותו היעדר פיקוח ומצדיק פיקוח בתחום השכר על-פי חוק יסודות התקציב.  </w:t>
      </w:r>
    </w:p>
    <w:p w:rsidR="007F1C14" w:rsidRDefault="007F1C14" w:rsidP="007F1C14">
      <w:pPr>
        <w:tabs>
          <w:tab w:val="left" w:pos="0"/>
        </w:tabs>
        <w:spacing w:after="0" w:line="360" w:lineRule="auto"/>
        <w:rPr>
          <w:rFonts w:ascii="Times New Roman" w:eastAsia="Calibri" w:hAnsi="Times New Roman" w:cs="David"/>
          <w:b/>
          <w:bCs/>
          <w:sz w:val="28"/>
          <w:szCs w:val="28"/>
          <w:u w:val="single"/>
          <w:rtl/>
        </w:rPr>
      </w:pPr>
      <w:r w:rsidRPr="007B2402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*</w:t>
      </w:r>
      <w:r w:rsidR="00C22E9D" w:rsidRPr="007B2402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דרישת הפיקוח של האוצר על גוף נתמך נעשה בהתאם לחוק יסודות התקציב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משנת 1985. חוק מיוחד זה 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מאוחר לחוק המועצה להשכלה גבוהה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משנת 1958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ו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נוגע באופן ספציפי בסוגיית הפיקוח התקציבי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ו</w:t>
      </w:r>
      <w:r w:rsidR="00A42AC4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ההלכה היא שחוק מאוחר וספציפי גובר על חוק מוקדם וכללי. </w:t>
      </w:r>
    </w:p>
    <w:p w:rsidR="00C22E9D" w:rsidRPr="00C612D8" w:rsidRDefault="007F1C14" w:rsidP="007F1C14">
      <w:pPr>
        <w:tabs>
          <w:tab w:val="left" w:pos="0"/>
        </w:tabs>
        <w:spacing w:after="0" w:line="360" w:lineRule="auto"/>
        <w:rPr>
          <w:rFonts w:ascii="Times New Roman" w:eastAsia="Calibri" w:hAnsi="Times New Roman" w:cs="David"/>
          <w:b/>
          <w:bCs/>
          <w:sz w:val="28"/>
          <w:szCs w:val="28"/>
        </w:rPr>
      </w:pPr>
      <w:r w:rsidRPr="0051019B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lastRenderedPageBreak/>
        <w:t>*</w:t>
      </w:r>
      <w:r w:rsidR="00C22E9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המצב דומה למקובל בעולם.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מוסדות ההשכלה הגבוהה </w:t>
      </w:r>
      <w:r w:rsidR="00C22E9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נהנים מחופש פעולה אקדמי </w:t>
      </w:r>
      <w:r w:rsidR="00C22E9D">
        <w:rPr>
          <w:rFonts w:ascii="Times New Roman" w:eastAsia="Calibri" w:hAnsi="Times New Roman" w:cs="David"/>
          <w:b/>
          <w:bCs/>
          <w:sz w:val="28"/>
          <w:szCs w:val="28"/>
          <w:rtl/>
        </w:rPr>
        <w:t>–</w:t>
      </w:r>
      <w:r w:rsidR="00C22E9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אישי ומוסדי, בד בבד כפופים למבקר חשבונות לאומי.</w:t>
      </w:r>
    </w:p>
    <w:p w:rsidR="00670646" w:rsidRPr="004E4A97" w:rsidRDefault="00670646" w:rsidP="004B4D2F">
      <w:pPr>
        <w:tabs>
          <w:tab w:val="left" w:pos="0"/>
        </w:tabs>
        <w:spacing w:after="0" w:line="360" w:lineRule="auto"/>
        <w:rPr>
          <w:rFonts w:ascii="Times New Roman" w:eastAsia="Calibri" w:hAnsi="Times New Roman" w:cs="David"/>
          <w:b/>
          <w:bCs/>
          <w:sz w:val="28"/>
          <w:szCs w:val="28"/>
          <w:rtl/>
        </w:rPr>
      </w:pPr>
      <w:bookmarkStart w:id="0" w:name="_GoBack"/>
      <w:bookmarkEnd w:id="0"/>
    </w:p>
    <w:p w:rsidR="00563FEA" w:rsidRPr="00850CEE" w:rsidRDefault="00563FEA" w:rsidP="00534C6C">
      <w:pPr>
        <w:tabs>
          <w:tab w:val="left" w:pos="-290"/>
        </w:tabs>
        <w:spacing w:after="0" w:line="360" w:lineRule="auto"/>
        <w:ind w:left="52"/>
        <w:jc w:val="both"/>
        <w:rPr>
          <w:rFonts w:ascii="Arial" w:eastAsia="Times New Roman" w:hAnsi="Arial" w:cs="David"/>
          <w:sz w:val="28"/>
          <w:szCs w:val="28"/>
        </w:rPr>
      </w:pPr>
      <w:r>
        <w:rPr>
          <w:rFonts w:ascii="Times New Roman" w:eastAsia="Calibri" w:hAnsi="Times New Roman" w:cs="David" w:hint="cs"/>
          <w:sz w:val="24"/>
          <w:szCs w:val="24"/>
          <w:rtl/>
        </w:rPr>
        <w:t>בג"צ</w:t>
      </w:r>
      <w:r w:rsidRPr="001A6B0E"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r w:rsidR="00063065">
        <w:rPr>
          <w:rFonts w:ascii="Times New Roman" w:eastAsia="Calibri" w:hAnsi="Times New Roman" w:cs="David" w:hint="cs"/>
          <w:sz w:val="24"/>
          <w:szCs w:val="24"/>
          <w:rtl/>
        </w:rPr>
        <w:t>3250/13</w:t>
      </w:r>
      <w:r w:rsidRPr="001A6B0E">
        <w:rPr>
          <w:rFonts w:ascii="Times New Roman" w:eastAsia="Calibri" w:hAnsi="Times New Roman" w:cs="David"/>
          <w:b/>
          <w:bCs/>
          <w:sz w:val="24"/>
          <w:szCs w:val="24"/>
        </w:rPr>
        <w:t xml:space="preserve">● 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 w:rsidR="00063065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האוניברסיטה העברית בירושלים ואח'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David"/>
          <w:b/>
          <w:bCs/>
          <w:sz w:val="24"/>
          <w:szCs w:val="24"/>
          <w:rtl/>
        </w:rPr>
        <w:t>–</w:t>
      </w:r>
      <w:r w:rsidRPr="001A6B0E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 w:rsidR="00063065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שר האוצר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, </w:t>
      </w:r>
      <w:r w:rsidR="00063065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הממונה על השכר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, </w:t>
      </w:r>
      <w:r w:rsidR="00063065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המועצה להשכלה גבוהה 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ואח'</w:t>
      </w:r>
      <w:r w:rsidRPr="001A6B0E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 w:rsidRPr="001A6B0E">
        <w:rPr>
          <w:rFonts w:ascii="Times New Roman" w:eastAsia="Calibri" w:hAnsi="Times New Roman" w:cs="David"/>
          <w:b/>
          <w:bCs/>
          <w:sz w:val="24"/>
          <w:szCs w:val="24"/>
        </w:rPr>
        <w:t xml:space="preserve"> ●</w:t>
      </w:r>
      <w:r w:rsidRPr="001A6B0E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 w:rsidRPr="001A6B0E">
        <w:rPr>
          <w:rFonts w:ascii="Times New Roman" w:eastAsia="Calibri" w:hAnsi="Times New Roman" w:cs="David" w:hint="cs"/>
          <w:sz w:val="24"/>
          <w:szCs w:val="24"/>
          <w:rtl/>
        </w:rPr>
        <w:t xml:space="preserve">בפני כב' </w:t>
      </w:r>
      <w:r w:rsidR="00063065">
        <w:rPr>
          <w:rFonts w:ascii="Times New Roman" w:eastAsia="Calibri" w:hAnsi="Times New Roman" w:cs="David" w:hint="cs"/>
          <w:sz w:val="24"/>
          <w:szCs w:val="24"/>
          <w:rtl/>
        </w:rPr>
        <w:t>ה</w:t>
      </w:r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נשיאה </w:t>
      </w:r>
      <w:r w:rsidR="00063065">
        <w:rPr>
          <w:rFonts w:ascii="Times New Roman" w:eastAsia="Calibri" w:hAnsi="Times New Roman" w:cs="David" w:hint="cs"/>
          <w:sz w:val="24"/>
          <w:szCs w:val="24"/>
          <w:rtl/>
        </w:rPr>
        <w:t>מ</w:t>
      </w:r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' </w:t>
      </w:r>
      <w:r w:rsidR="00063065">
        <w:rPr>
          <w:rFonts w:ascii="Times New Roman" w:eastAsia="Calibri" w:hAnsi="Times New Roman" w:cs="David" w:hint="cs"/>
          <w:sz w:val="24"/>
          <w:szCs w:val="24"/>
          <w:rtl/>
        </w:rPr>
        <w:t>מאור</w:t>
      </w:r>
      <w:r>
        <w:rPr>
          <w:rFonts w:ascii="Times New Roman" w:eastAsia="Calibri" w:hAnsi="Times New Roman" w:cs="David" w:hint="cs"/>
          <w:sz w:val="24"/>
          <w:szCs w:val="24"/>
          <w:rtl/>
        </w:rPr>
        <w:t>, כב' השופט</w:t>
      </w:r>
      <w:r w:rsidR="00534C6C">
        <w:rPr>
          <w:rFonts w:ascii="Times New Roman" w:eastAsia="Calibri" w:hAnsi="Times New Roman" w:cs="David" w:hint="cs"/>
          <w:sz w:val="24"/>
          <w:szCs w:val="24"/>
          <w:rtl/>
        </w:rPr>
        <w:t>ת</w:t>
      </w:r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r w:rsidR="00534C6C">
        <w:rPr>
          <w:rFonts w:ascii="Times New Roman" w:eastAsia="Calibri" w:hAnsi="Times New Roman" w:cs="David" w:hint="cs"/>
          <w:sz w:val="24"/>
          <w:szCs w:val="24"/>
          <w:rtl/>
        </w:rPr>
        <w:t>א' חיות</w:t>
      </w:r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, כב' השופט </w:t>
      </w:r>
      <w:r w:rsidR="00534C6C">
        <w:rPr>
          <w:rFonts w:ascii="Times New Roman" w:eastAsia="Calibri" w:hAnsi="Times New Roman" w:cs="David" w:hint="cs"/>
          <w:sz w:val="24"/>
          <w:szCs w:val="24"/>
          <w:rtl/>
        </w:rPr>
        <w:t>א</w:t>
      </w:r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' </w:t>
      </w:r>
      <w:r w:rsidR="00534C6C">
        <w:rPr>
          <w:rFonts w:ascii="Times New Roman" w:eastAsia="Calibri" w:hAnsi="Times New Roman" w:cs="David" w:hint="cs"/>
          <w:sz w:val="24"/>
          <w:szCs w:val="24"/>
          <w:rtl/>
        </w:rPr>
        <w:t>שהם</w:t>
      </w:r>
      <w:r>
        <w:rPr>
          <w:rFonts w:ascii="Times New Roman" w:eastAsia="Calibri" w:hAnsi="Times New Roman" w:cs="David" w:hint="cs"/>
          <w:sz w:val="24"/>
          <w:szCs w:val="24"/>
          <w:rtl/>
        </w:rPr>
        <w:t>.</w:t>
      </w:r>
    </w:p>
    <w:p w:rsidR="00563FEA" w:rsidRDefault="00563FEA">
      <w:pPr>
        <w:rPr>
          <w:rFonts w:ascii="Arial" w:hAnsi="Arial" w:cs="Arial"/>
          <w:color w:val="000000"/>
          <w:sz w:val="18"/>
          <w:szCs w:val="18"/>
          <w:shd w:val="clear" w:color="auto" w:fill="FAFAFA"/>
          <w:rtl/>
        </w:rPr>
      </w:pPr>
    </w:p>
    <w:p w:rsidR="00AD6CC9" w:rsidRPr="001A6B0E" w:rsidRDefault="00AD6CC9" w:rsidP="00AD6CC9">
      <w:pPr>
        <w:tabs>
          <w:tab w:val="left" w:pos="-110"/>
        </w:tabs>
        <w:spacing w:after="0" w:line="240" w:lineRule="auto"/>
        <w:ind w:left="-151" w:hanging="139"/>
        <w:jc w:val="both"/>
        <w:rPr>
          <w:rFonts w:ascii="Arial" w:eastAsia="Times New Roman" w:hAnsi="Arial" w:cs="David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cs="David" w:hint="cs"/>
          <w:b/>
          <w:bCs/>
          <w:sz w:val="32"/>
          <w:szCs w:val="36"/>
          <w:u w:val="single"/>
          <w:rtl/>
        </w:rPr>
        <w:t xml:space="preserve">בית דין אזורי </w:t>
      </w:r>
    </w:p>
    <w:p w:rsidR="00755518" w:rsidRDefault="00755518">
      <w:pPr>
        <w:rPr>
          <w:rtl/>
        </w:rPr>
      </w:pPr>
    </w:p>
    <w:p w:rsidR="00AD6CC9" w:rsidRDefault="00AD6CC9" w:rsidP="00AD6CC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David"/>
          <w:b/>
          <w:bCs/>
          <w:sz w:val="28"/>
          <w:szCs w:val="28"/>
        </w:rPr>
      </w:pPr>
      <w:r>
        <w:rPr>
          <w:rFonts w:ascii="Arial" w:eastAsia="Times New Roman" w:hAnsi="Arial" w:cs="David" w:hint="cs"/>
          <w:b/>
          <w:bCs/>
          <w:color w:val="000080"/>
          <w:sz w:val="28"/>
          <w:szCs w:val="32"/>
          <w:u w:val="single"/>
          <w:rtl/>
        </w:rPr>
        <w:t xml:space="preserve">דו"חות ביקורת פנימיים שהוגשו לבית הדין הוצאו מהתיק כבלתי קבילים.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   </w:t>
      </w:r>
    </w:p>
    <w:p w:rsidR="00AD6CC9" w:rsidRDefault="00AD6CC9">
      <w:pPr>
        <w:rPr>
          <w:rtl/>
        </w:rPr>
      </w:pPr>
    </w:p>
    <w:p w:rsidR="00AD6CC9" w:rsidRDefault="00AD6CC9" w:rsidP="00AD6CC9">
      <w:pPr>
        <w:tabs>
          <w:tab w:val="left" w:pos="0"/>
        </w:tabs>
        <w:spacing w:after="0" w:line="360" w:lineRule="auto"/>
        <w:ind w:left="52"/>
        <w:jc w:val="both"/>
        <w:rPr>
          <w:rFonts w:ascii="Times New Roman" w:eastAsia="Calibri" w:hAnsi="Times New Roman" w:cs="David"/>
          <w:b/>
          <w:bCs/>
          <w:sz w:val="28"/>
          <w:szCs w:val="28"/>
          <w:rtl/>
        </w:rPr>
      </w:pP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התובע הגיש מסמכים מתוך דוח ביקורת פנים כראיות לבית הדין בטענה שחוק הביקורת לא מקנה חסיון למסמכי ביקורת פנימית, אך בית הדין הורה להוציאם מהתיק כבלתי קבילים ופסק:</w:t>
      </w:r>
    </w:p>
    <w:p w:rsidR="00AD6CC9" w:rsidRDefault="00AD6CC9" w:rsidP="00AD6CC9">
      <w:pPr>
        <w:tabs>
          <w:tab w:val="left" w:pos="0"/>
        </w:tabs>
        <w:spacing w:after="0" w:line="360" w:lineRule="auto"/>
        <w:ind w:left="52"/>
        <w:rPr>
          <w:rFonts w:ascii="Times New Roman" w:eastAsia="Calibri" w:hAnsi="Times New Roman" w:cs="David"/>
          <w:b/>
          <w:bCs/>
          <w:sz w:val="28"/>
          <w:szCs w:val="28"/>
          <w:rtl/>
        </w:rPr>
      </w:pP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סעיף 10 לחוק הביקורת הפנימית, התשנ"ב-1992, תכליתו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לקבוע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כי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ממצאים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שהכין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מבקר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פנים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לא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ישמשו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ראיה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בהליך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משפטי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,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כפי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שהדבר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חל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לגבי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דו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>"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חות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וחוות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דעת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של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מבקר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המדינה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.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מטרת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 החוק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להבטיח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שיהיה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שיתוף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פעולה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מלא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של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העובדים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עם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המבקר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הפנימי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,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וכדי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למנוע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ממנו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את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החובה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לדווח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על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עבודת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הביקורת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בבתי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>-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המשפט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.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בית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המשפט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העליון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הבחין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בין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התרת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זכות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העיון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בדו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>"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חות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ביקורת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פנים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לעומת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אי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קבילות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הדו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>"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חות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כראיה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במסגרת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ההליך</w:t>
      </w:r>
      <w:r w:rsidRPr="00D2171D">
        <w:rPr>
          <w:rFonts w:ascii="Times New Roman" w:eastAsia="Calibri" w:hAnsi="Times New Roman" w:cs="David"/>
          <w:b/>
          <w:bCs/>
          <w:sz w:val="28"/>
          <w:szCs w:val="28"/>
          <w:rtl/>
        </w:rPr>
        <w:t xml:space="preserve"> </w:t>
      </w:r>
      <w:r w:rsidRPr="00D2171D"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>השיפוטי</w:t>
      </w:r>
      <w:r>
        <w:rPr>
          <w:rFonts w:ascii="Times New Roman" w:eastAsia="Calibri" w:hAnsi="Times New Roman" w:cs="David" w:hint="cs"/>
          <w:b/>
          <w:bCs/>
          <w:sz w:val="28"/>
          <w:szCs w:val="28"/>
          <w:rtl/>
        </w:rPr>
        <w:t xml:space="preserve"> שנועדה למנוע מבתי המשפט לבסס ממצא  על דוח ביקורת פנים.</w:t>
      </w:r>
    </w:p>
    <w:p w:rsidR="00AD6CC9" w:rsidRDefault="00AD6CC9" w:rsidP="00AD6CC9">
      <w:pPr>
        <w:tabs>
          <w:tab w:val="left" w:pos="-290"/>
        </w:tabs>
        <w:spacing w:after="0" w:line="360" w:lineRule="auto"/>
        <w:ind w:left="52"/>
        <w:jc w:val="both"/>
        <w:rPr>
          <w:rFonts w:ascii="Times New Roman" w:eastAsia="Calibri" w:hAnsi="Times New Roman" w:cs="David"/>
          <w:b/>
          <w:bCs/>
          <w:sz w:val="28"/>
          <w:szCs w:val="28"/>
          <w:rtl/>
        </w:rPr>
      </w:pPr>
    </w:p>
    <w:p w:rsidR="00AD6CC9" w:rsidRPr="00850CEE" w:rsidRDefault="00AD6CC9" w:rsidP="00AD6CC9">
      <w:pPr>
        <w:tabs>
          <w:tab w:val="left" w:pos="-290"/>
        </w:tabs>
        <w:spacing w:after="0" w:line="360" w:lineRule="auto"/>
        <w:ind w:left="52"/>
        <w:jc w:val="both"/>
        <w:rPr>
          <w:rFonts w:ascii="Arial" w:eastAsia="Times New Roman" w:hAnsi="Arial" w:cs="David"/>
          <w:sz w:val="28"/>
          <w:szCs w:val="28"/>
        </w:rPr>
      </w:pPr>
      <w:proofErr w:type="spellStart"/>
      <w:r>
        <w:rPr>
          <w:rFonts w:ascii="Times New Roman" w:eastAsia="Calibri" w:hAnsi="Times New Roman" w:cs="David" w:hint="cs"/>
          <w:sz w:val="24"/>
          <w:szCs w:val="24"/>
          <w:rtl/>
        </w:rPr>
        <w:t>סע"ש</w:t>
      </w:r>
      <w:proofErr w:type="spellEnd"/>
      <w:r w:rsidRPr="001A6B0E"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David" w:hint="cs"/>
          <w:sz w:val="24"/>
          <w:szCs w:val="24"/>
          <w:rtl/>
        </w:rPr>
        <w:t>25670-10-13</w:t>
      </w:r>
      <w:r w:rsidRPr="001A6B0E">
        <w:rPr>
          <w:rFonts w:ascii="Times New Roman" w:eastAsia="Calibri" w:hAnsi="Times New Roman" w:cs="David"/>
          <w:b/>
          <w:bCs/>
          <w:sz w:val="24"/>
          <w:szCs w:val="24"/>
        </w:rPr>
        <w:t xml:space="preserve">● 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פרץ </w:t>
      </w:r>
      <w:r>
        <w:rPr>
          <w:rFonts w:ascii="Times New Roman" w:eastAsia="Calibri" w:hAnsi="Times New Roman" w:cs="David"/>
          <w:b/>
          <w:bCs/>
          <w:sz w:val="24"/>
          <w:szCs w:val="24"/>
          <w:rtl/>
        </w:rPr>
        <w:t>–</w:t>
      </w:r>
      <w:r w:rsidRPr="001A6B0E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חברת נמל חיפה בע"מ ואח'</w:t>
      </w:r>
      <w:r w:rsidRPr="001A6B0E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 w:rsidRPr="001A6B0E">
        <w:rPr>
          <w:rFonts w:ascii="Times New Roman" w:eastAsia="Calibri" w:hAnsi="Times New Roman" w:cs="David"/>
          <w:b/>
          <w:bCs/>
          <w:sz w:val="24"/>
          <w:szCs w:val="24"/>
        </w:rPr>
        <w:t xml:space="preserve"> ●</w:t>
      </w:r>
      <w:r w:rsidRPr="001A6B0E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</w:t>
      </w:r>
      <w:r w:rsidRPr="001A6B0E">
        <w:rPr>
          <w:rFonts w:ascii="Times New Roman" w:eastAsia="Calibri" w:hAnsi="Times New Roman" w:cs="David" w:hint="cs"/>
          <w:sz w:val="24"/>
          <w:szCs w:val="24"/>
          <w:rtl/>
        </w:rPr>
        <w:t xml:space="preserve">בפני כב' </w:t>
      </w:r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השופטת מיכל נעים </w:t>
      </w:r>
      <w:proofErr w:type="spellStart"/>
      <w:r>
        <w:rPr>
          <w:rFonts w:ascii="Times New Roman" w:eastAsia="Calibri" w:hAnsi="Times New Roman" w:cs="David" w:hint="cs"/>
          <w:sz w:val="24"/>
          <w:szCs w:val="24"/>
          <w:rtl/>
        </w:rPr>
        <w:t>דיבנר</w:t>
      </w:r>
      <w:proofErr w:type="spellEnd"/>
      <w:r>
        <w:rPr>
          <w:rFonts w:ascii="Times New Roman" w:eastAsia="Calibri" w:hAnsi="Times New Roman" w:cs="David" w:hint="cs"/>
          <w:sz w:val="24"/>
          <w:szCs w:val="24"/>
          <w:rtl/>
        </w:rPr>
        <w:t xml:space="preserve">. </w:t>
      </w:r>
    </w:p>
    <w:p w:rsidR="00AD6CC9" w:rsidRPr="00AD6CC9" w:rsidRDefault="00AD6CC9"/>
    <w:sectPr w:rsidR="00AD6CC9" w:rsidRPr="00AD6CC9" w:rsidSect="00F162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977"/>
    <w:multiLevelType w:val="hybridMultilevel"/>
    <w:tmpl w:val="F572CB2C"/>
    <w:lvl w:ilvl="0" w:tplc="D68E7EC2">
      <w:start w:val="1"/>
      <w:numFmt w:val="decimal"/>
      <w:lvlText w:val="%1."/>
      <w:lvlJc w:val="left"/>
      <w:pPr>
        <w:ind w:left="52" w:hanging="360"/>
      </w:pPr>
      <w:rPr>
        <w:rFonts w:hint="default"/>
        <w:b/>
        <w:bCs/>
        <w:color w:val="00206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">
    <w:nsid w:val="705E057D"/>
    <w:multiLevelType w:val="hybridMultilevel"/>
    <w:tmpl w:val="5002C144"/>
    <w:lvl w:ilvl="0" w:tplc="C62AD1F4">
      <w:start w:val="1"/>
      <w:numFmt w:val="decimal"/>
      <w:lvlText w:val="%1."/>
      <w:lvlJc w:val="left"/>
      <w:pPr>
        <w:ind w:left="360" w:hanging="360"/>
      </w:pPr>
      <w:rPr>
        <w:rFonts w:cs="FrankRuehl"/>
        <w:sz w:val="28"/>
        <w:szCs w:val="28"/>
        <w:lang w:bidi="he-I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EA"/>
    <w:rsid w:val="00063065"/>
    <w:rsid w:val="00110355"/>
    <w:rsid w:val="0011750F"/>
    <w:rsid w:val="0017199C"/>
    <w:rsid w:val="00192687"/>
    <w:rsid w:val="002B5AA2"/>
    <w:rsid w:val="002C6130"/>
    <w:rsid w:val="003D28C2"/>
    <w:rsid w:val="004B4D2F"/>
    <w:rsid w:val="004E4A97"/>
    <w:rsid w:val="0051019B"/>
    <w:rsid w:val="00534C6C"/>
    <w:rsid w:val="0055201C"/>
    <w:rsid w:val="005610E9"/>
    <w:rsid w:val="00563FEA"/>
    <w:rsid w:val="005B3340"/>
    <w:rsid w:val="005D3665"/>
    <w:rsid w:val="00670646"/>
    <w:rsid w:val="0073336A"/>
    <w:rsid w:val="00755518"/>
    <w:rsid w:val="007B2402"/>
    <w:rsid w:val="007F1C14"/>
    <w:rsid w:val="00A31A08"/>
    <w:rsid w:val="00A42AC4"/>
    <w:rsid w:val="00AC5742"/>
    <w:rsid w:val="00AD6CC9"/>
    <w:rsid w:val="00AF2855"/>
    <w:rsid w:val="00BF5BD0"/>
    <w:rsid w:val="00C22E9D"/>
    <w:rsid w:val="00C612D8"/>
    <w:rsid w:val="00CF3D2B"/>
    <w:rsid w:val="00F07864"/>
    <w:rsid w:val="00F162C0"/>
    <w:rsid w:val="00F65851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E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FB20F6"/>
    <w:pPr>
      <w:tabs>
        <w:tab w:val="left" w:pos="0"/>
      </w:tabs>
      <w:ind w:left="397" w:hanging="397"/>
      <w:jc w:val="both"/>
      <w:outlineLvl w:val="0"/>
    </w:pPr>
    <w:rPr>
      <w:sz w:val="18"/>
    </w:rPr>
  </w:style>
  <w:style w:type="paragraph" w:styleId="2">
    <w:name w:val="heading 2"/>
    <w:basedOn w:val="a"/>
    <w:next w:val="a"/>
    <w:link w:val="20"/>
    <w:qFormat/>
    <w:rsid w:val="00FB20F6"/>
    <w:pPr>
      <w:tabs>
        <w:tab w:val="left" w:pos="397"/>
        <w:tab w:val="left" w:pos="794"/>
      </w:tabs>
      <w:spacing w:before="120"/>
      <w:ind w:left="794" w:hanging="794"/>
      <w:jc w:val="both"/>
      <w:outlineLvl w:val="1"/>
    </w:pPr>
    <w:rPr>
      <w:sz w:val="18"/>
    </w:rPr>
  </w:style>
  <w:style w:type="paragraph" w:styleId="3">
    <w:name w:val="heading 3"/>
    <w:basedOn w:val="a"/>
    <w:next w:val="a0"/>
    <w:link w:val="30"/>
    <w:qFormat/>
    <w:rsid w:val="00FB20F6"/>
    <w:pPr>
      <w:tabs>
        <w:tab w:val="left" w:pos="0"/>
        <w:tab w:val="left" w:pos="397"/>
        <w:tab w:val="left" w:pos="794"/>
        <w:tab w:val="left" w:pos="1191"/>
      </w:tabs>
      <w:ind w:left="360" w:hanging="1191"/>
      <w:jc w:val="both"/>
      <w:outlineLvl w:val="2"/>
    </w:pPr>
    <w:rPr>
      <w:sz w:val="18"/>
    </w:rPr>
  </w:style>
  <w:style w:type="paragraph" w:styleId="6">
    <w:name w:val="heading 6"/>
    <w:basedOn w:val="a"/>
    <w:next w:val="a"/>
    <w:link w:val="60"/>
    <w:qFormat/>
    <w:rsid w:val="00FB20F6"/>
    <w:pPr>
      <w:tabs>
        <w:tab w:val="left" w:pos="0"/>
      </w:tabs>
      <w:spacing w:before="240" w:after="60"/>
      <w:ind w:left="397" w:hanging="397"/>
      <w:jc w:val="both"/>
      <w:outlineLvl w:val="5"/>
    </w:pPr>
    <w:rPr>
      <w:rFonts w:cs="Times New Roman"/>
      <w:b/>
      <w:bCs/>
    </w:rPr>
  </w:style>
  <w:style w:type="paragraph" w:styleId="8">
    <w:name w:val="heading 8"/>
    <w:basedOn w:val="a"/>
    <w:next w:val="a"/>
    <w:link w:val="80"/>
    <w:qFormat/>
    <w:rsid w:val="00FB20F6"/>
    <w:pPr>
      <w:bidi w:val="0"/>
      <w:spacing w:before="240" w:after="60"/>
      <w:outlineLvl w:val="7"/>
    </w:pPr>
    <w:rPr>
      <w:rFonts w:cs="Times New Roman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פיסקת רשימה1"/>
    <w:basedOn w:val="a"/>
    <w:link w:val="ListParagraphChar"/>
    <w:qFormat/>
    <w:rsid w:val="00FB20F6"/>
    <w:pPr>
      <w:ind w:left="720"/>
      <w:contextualSpacing/>
    </w:pPr>
    <w:rPr>
      <w:rFonts w:ascii="Calibri" w:hAnsi="Calibri" w:cs="Arial"/>
    </w:rPr>
  </w:style>
  <w:style w:type="character" w:customStyle="1" w:styleId="ListParagraphChar">
    <w:name w:val="List Paragraph Char"/>
    <w:link w:val="11"/>
    <w:locked/>
    <w:rsid w:val="00FB20F6"/>
    <w:rPr>
      <w:rFonts w:ascii="Calibri" w:hAnsi="Calibri" w:cs="Arial"/>
      <w:sz w:val="22"/>
      <w:szCs w:val="22"/>
    </w:rPr>
  </w:style>
  <w:style w:type="character" w:customStyle="1" w:styleId="10">
    <w:name w:val="כותרת 1 תו"/>
    <w:link w:val="1"/>
    <w:rsid w:val="00FB20F6"/>
    <w:rPr>
      <w:rFonts w:cs="David"/>
      <w:sz w:val="18"/>
      <w:szCs w:val="24"/>
    </w:rPr>
  </w:style>
  <w:style w:type="character" w:customStyle="1" w:styleId="20">
    <w:name w:val="כותרת 2 תו"/>
    <w:basedOn w:val="a1"/>
    <w:link w:val="2"/>
    <w:rsid w:val="00FB20F6"/>
    <w:rPr>
      <w:rFonts w:cs="David"/>
      <w:sz w:val="18"/>
      <w:szCs w:val="24"/>
    </w:rPr>
  </w:style>
  <w:style w:type="character" w:customStyle="1" w:styleId="30">
    <w:name w:val="כותרת 3 תו"/>
    <w:basedOn w:val="a1"/>
    <w:link w:val="3"/>
    <w:rsid w:val="00FB20F6"/>
    <w:rPr>
      <w:rFonts w:cs="David"/>
      <w:sz w:val="18"/>
      <w:szCs w:val="24"/>
    </w:rPr>
  </w:style>
  <w:style w:type="paragraph" w:styleId="a0">
    <w:name w:val="Normal Indent"/>
    <w:basedOn w:val="a"/>
    <w:uiPriority w:val="99"/>
    <w:semiHidden/>
    <w:unhideWhenUsed/>
    <w:rsid w:val="00FB20F6"/>
    <w:pPr>
      <w:ind w:left="720"/>
    </w:pPr>
  </w:style>
  <w:style w:type="character" w:customStyle="1" w:styleId="60">
    <w:name w:val="כותרת 6 תו"/>
    <w:basedOn w:val="a1"/>
    <w:link w:val="6"/>
    <w:rsid w:val="00FB20F6"/>
    <w:rPr>
      <w:b/>
      <w:bCs/>
      <w:sz w:val="22"/>
      <w:szCs w:val="22"/>
    </w:rPr>
  </w:style>
  <w:style w:type="character" w:customStyle="1" w:styleId="80">
    <w:name w:val="כותרת 8 תו"/>
    <w:basedOn w:val="a1"/>
    <w:link w:val="8"/>
    <w:rsid w:val="00FB20F6"/>
    <w:rPr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563FEA"/>
  </w:style>
  <w:style w:type="character" w:styleId="Hyperlink">
    <w:name w:val="Hyperlink"/>
    <w:basedOn w:val="a1"/>
    <w:uiPriority w:val="99"/>
    <w:unhideWhenUsed/>
    <w:rsid w:val="00C6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E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FB20F6"/>
    <w:pPr>
      <w:tabs>
        <w:tab w:val="left" w:pos="0"/>
      </w:tabs>
      <w:ind w:left="397" w:hanging="397"/>
      <w:jc w:val="both"/>
      <w:outlineLvl w:val="0"/>
    </w:pPr>
    <w:rPr>
      <w:sz w:val="18"/>
    </w:rPr>
  </w:style>
  <w:style w:type="paragraph" w:styleId="2">
    <w:name w:val="heading 2"/>
    <w:basedOn w:val="a"/>
    <w:next w:val="a"/>
    <w:link w:val="20"/>
    <w:qFormat/>
    <w:rsid w:val="00FB20F6"/>
    <w:pPr>
      <w:tabs>
        <w:tab w:val="left" w:pos="397"/>
        <w:tab w:val="left" w:pos="794"/>
      </w:tabs>
      <w:spacing w:before="120"/>
      <w:ind w:left="794" w:hanging="794"/>
      <w:jc w:val="both"/>
      <w:outlineLvl w:val="1"/>
    </w:pPr>
    <w:rPr>
      <w:sz w:val="18"/>
    </w:rPr>
  </w:style>
  <w:style w:type="paragraph" w:styleId="3">
    <w:name w:val="heading 3"/>
    <w:basedOn w:val="a"/>
    <w:next w:val="a0"/>
    <w:link w:val="30"/>
    <w:qFormat/>
    <w:rsid w:val="00FB20F6"/>
    <w:pPr>
      <w:tabs>
        <w:tab w:val="left" w:pos="0"/>
        <w:tab w:val="left" w:pos="397"/>
        <w:tab w:val="left" w:pos="794"/>
        <w:tab w:val="left" w:pos="1191"/>
      </w:tabs>
      <w:ind w:left="360" w:hanging="1191"/>
      <w:jc w:val="both"/>
      <w:outlineLvl w:val="2"/>
    </w:pPr>
    <w:rPr>
      <w:sz w:val="18"/>
    </w:rPr>
  </w:style>
  <w:style w:type="paragraph" w:styleId="6">
    <w:name w:val="heading 6"/>
    <w:basedOn w:val="a"/>
    <w:next w:val="a"/>
    <w:link w:val="60"/>
    <w:qFormat/>
    <w:rsid w:val="00FB20F6"/>
    <w:pPr>
      <w:tabs>
        <w:tab w:val="left" w:pos="0"/>
      </w:tabs>
      <w:spacing w:before="240" w:after="60"/>
      <w:ind w:left="397" w:hanging="397"/>
      <w:jc w:val="both"/>
      <w:outlineLvl w:val="5"/>
    </w:pPr>
    <w:rPr>
      <w:rFonts w:cs="Times New Roman"/>
      <w:b/>
      <w:bCs/>
    </w:rPr>
  </w:style>
  <w:style w:type="paragraph" w:styleId="8">
    <w:name w:val="heading 8"/>
    <w:basedOn w:val="a"/>
    <w:next w:val="a"/>
    <w:link w:val="80"/>
    <w:qFormat/>
    <w:rsid w:val="00FB20F6"/>
    <w:pPr>
      <w:bidi w:val="0"/>
      <w:spacing w:before="240" w:after="60"/>
      <w:outlineLvl w:val="7"/>
    </w:pPr>
    <w:rPr>
      <w:rFonts w:cs="Times New Roman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פיסקת רשימה1"/>
    <w:basedOn w:val="a"/>
    <w:link w:val="ListParagraphChar"/>
    <w:qFormat/>
    <w:rsid w:val="00FB20F6"/>
    <w:pPr>
      <w:ind w:left="720"/>
      <w:contextualSpacing/>
    </w:pPr>
    <w:rPr>
      <w:rFonts w:ascii="Calibri" w:hAnsi="Calibri" w:cs="Arial"/>
    </w:rPr>
  </w:style>
  <w:style w:type="character" w:customStyle="1" w:styleId="ListParagraphChar">
    <w:name w:val="List Paragraph Char"/>
    <w:link w:val="11"/>
    <w:locked/>
    <w:rsid w:val="00FB20F6"/>
    <w:rPr>
      <w:rFonts w:ascii="Calibri" w:hAnsi="Calibri" w:cs="Arial"/>
      <w:sz w:val="22"/>
      <w:szCs w:val="22"/>
    </w:rPr>
  </w:style>
  <w:style w:type="character" w:customStyle="1" w:styleId="10">
    <w:name w:val="כותרת 1 תו"/>
    <w:link w:val="1"/>
    <w:rsid w:val="00FB20F6"/>
    <w:rPr>
      <w:rFonts w:cs="David"/>
      <w:sz w:val="18"/>
      <w:szCs w:val="24"/>
    </w:rPr>
  </w:style>
  <w:style w:type="character" w:customStyle="1" w:styleId="20">
    <w:name w:val="כותרת 2 תו"/>
    <w:basedOn w:val="a1"/>
    <w:link w:val="2"/>
    <w:rsid w:val="00FB20F6"/>
    <w:rPr>
      <w:rFonts w:cs="David"/>
      <w:sz w:val="18"/>
      <w:szCs w:val="24"/>
    </w:rPr>
  </w:style>
  <w:style w:type="character" w:customStyle="1" w:styleId="30">
    <w:name w:val="כותרת 3 תו"/>
    <w:basedOn w:val="a1"/>
    <w:link w:val="3"/>
    <w:rsid w:val="00FB20F6"/>
    <w:rPr>
      <w:rFonts w:cs="David"/>
      <w:sz w:val="18"/>
      <w:szCs w:val="24"/>
    </w:rPr>
  </w:style>
  <w:style w:type="paragraph" w:styleId="a0">
    <w:name w:val="Normal Indent"/>
    <w:basedOn w:val="a"/>
    <w:uiPriority w:val="99"/>
    <w:semiHidden/>
    <w:unhideWhenUsed/>
    <w:rsid w:val="00FB20F6"/>
    <w:pPr>
      <w:ind w:left="720"/>
    </w:pPr>
  </w:style>
  <w:style w:type="character" w:customStyle="1" w:styleId="60">
    <w:name w:val="כותרת 6 תו"/>
    <w:basedOn w:val="a1"/>
    <w:link w:val="6"/>
    <w:rsid w:val="00FB20F6"/>
    <w:rPr>
      <w:b/>
      <w:bCs/>
      <w:sz w:val="22"/>
      <w:szCs w:val="22"/>
    </w:rPr>
  </w:style>
  <w:style w:type="character" w:customStyle="1" w:styleId="80">
    <w:name w:val="כותרת 8 תו"/>
    <w:basedOn w:val="a1"/>
    <w:link w:val="8"/>
    <w:rsid w:val="00FB20F6"/>
    <w:rPr>
      <w:i/>
      <w:iCs/>
      <w:sz w:val="24"/>
      <w:szCs w:val="24"/>
    </w:rPr>
  </w:style>
  <w:style w:type="character" w:customStyle="1" w:styleId="apple-converted-space">
    <w:name w:val="apple-converted-space"/>
    <w:basedOn w:val="a1"/>
    <w:rsid w:val="00563FEA"/>
  </w:style>
  <w:style w:type="character" w:styleId="Hyperlink">
    <w:name w:val="Hyperlink"/>
    <w:basedOn w:val="a1"/>
    <w:uiPriority w:val="99"/>
    <w:unhideWhenUsed/>
    <w:rsid w:val="00C6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webydo.com/12/123940/3958/%D7%9C%D7%95%D7%92%D7%95-%D7%A0%D7%92%D7%98%D7%99%D7%91.png?v=446241012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Kozer</dc:creator>
  <cp:lastModifiedBy>USER</cp:lastModifiedBy>
  <cp:revision>21</cp:revision>
  <cp:lastPrinted>2015-08-11T10:36:00Z</cp:lastPrinted>
  <dcterms:created xsi:type="dcterms:W3CDTF">2015-08-11T08:31:00Z</dcterms:created>
  <dcterms:modified xsi:type="dcterms:W3CDTF">2015-08-23T05:20:00Z</dcterms:modified>
</cp:coreProperties>
</file>