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DA4" w:rsidRPr="00CD13D1" w:rsidRDefault="00F86DA4" w:rsidP="00F86DA4">
      <w:pPr>
        <w:pStyle w:val="Header"/>
        <w:rPr>
          <w:rFonts w:hint="cs"/>
          <w:b/>
          <w:bCs/>
          <w:szCs w:val="28"/>
          <w:rtl/>
        </w:rPr>
      </w:pPr>
      <w:r>
        <w:drawing>
          <wp:anchor distT="0" distB="0" distL="114300" distR="114300" simplePos="0" relativeHeight="251660288" behindDoc="1" locked="0" layoutInCell="1" allowOverlap="1">
            <wp:simplePos x="0" y="0"/>
            <wp:positionH relativeFrom="column">
              <wp:posOffset>2857500</wp:posOffset>
            </wp:positionH>
            <wp:positionV relativeFrom="paragraph">
              <wp:posOffset>0</wp:posOffset>
            </wp:positionV>
            <wp:extent cx="3009265" cy="659130"/>
            <wp:effectExtent l="0" t="0" r="635" b="762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30092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9264" behindDoc="1" locked="0" layoutInCell="1" allowOverlap="1">
            <wp:simplePos x="0" y="0"/>
            <wp:positionH relativeFrom="column">
              <wp:posOffset>3086100</wp:posOffset>
            </wp:positionH>
            <wp:positionV relativeFrom="paragraph">
              <wp:posOffset>0</wp:posOffset>
            </wp:positionV>
            <wp:extent cx="2764155" cy="818515"/>
            <wp:effectExtent l="0" t="0" r="0" b="0"/>
            <wp:wrapNone/>
            <wp:docPr id="3" name="Picture 3" descr="http://images.webydo.com/12/123940/3958/%D7%9C%D7%95%D7%92%D7%95-%D7%A0%D7%92%D7%98%D7%99%D7%91.png?v=4462410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webydo.com/12/123940/3958/%D7%9C%D7%95%D7%92%D7%95-%D7%A0%D7%92%D7%98%D7%99%D7%91.png?v=44624101212"/>
                    <pic:cNvPicPr>
                      <a:picLocks noChangeAspect="1" noChangeArrowheads="1"/>
                    </pic:cNvPicPr>
                  </pic:nvPicPr>
                  <pic:blipFill>
                    <a:blip r:embed="rId7" r:link="rId8">
                      <a:lum bright="24000" contrast="6000"/>
                      <a:extLst>
                        <a:ext uri="{28A0092B-C50C-407E-A947-70E740481C1C}">
                          <a14:useLocalDpi xmlns:a14="http://schemas.microsoft.com/office/drawing/2010/main" val="0"/>
                        </a:ext>
                      </a:extLst>
                    </a:blip>
                    <a:srcRect/>
                    <a:stretch>
                      <a:fillRect/>
                    </a:stretch>
                  </pic:blipFill>
                  <pic:spPr bwMode="auto">
                    <a:xfrm>
                      <a:off x="0" y="0"/>
                      <a:ext cx="276415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13D1">
        <w:rPr>
          <w:rFonts w:hint="cs"/>
          <w:b/>
          <w:bCs/>
          <w:szCs w:val="28"/>
          <w:rtl/>
        </w:rPr>
        <w:t xml:space="preserve">                                                                                             </w:t>
      </w:r>
    </w:p>
    <w:p w:rsidR="00F86DA4" w:rsidRPr="00C710DD" w:rsidRDefault="00F86DA4" w:rsidP="00F86DA4">
      <w:pPr>
        <w:pStyle w:val="Header"/>
        <w:jc w:val="center"/>
        <w:rPr>
          <w:rFonts w:hint="cs"/>
          <w:b/>
          <w:bCs/>
          <w:color w:val="333333"/>
          <w:szCs w:val="28"/>
          <w:rtl/>
        </w:rPr>
      </w:pPr>
      <w:r w:rsidRPr="00C710DD">
        <w:rPr>
          <w:rFonts w:hint="cs"/>
          <w:b/>
          <w:bCs/>
          <w:color w:val="333333"/>
          <w:szCs w:val="28"/>
          <w:rtl/>
        </w:rPr>
        <w:t xml:space="preserve">                                                                                                      משרד בוטיק בדיני עבודה</w:t>
      </w:r>
    </w:p>
    <w:p w:rsidR="00F86DA4" w:rsidRPr="00CD13D1" w:rsidRDefault="00F86DA4" w:rsidP="00F86DA4">
      <w:pPr>
        <w:pStyle w:val="Header"/>
        <w:rPr>
          <w:rFonts w:hint="cs"/>
          <w:rtl/>
        </w:rPr>
      </w:pPr>
    </w:p>
    <w:p w:rsidR="00F86DA4" w:rsidRDefault="00F86DA4" w:rsidP="00F86DA4">
      <w:pPr>
        <w:pStyle w:val="Header"/>
        <w:rPr>
          <w:rFonts w:hint="cs"/>
          <w:rtl/>
        </w:rPr>
      </w:pPr>
    </w:p>
    <w:p w:rsidR="00F86DA4" w:rsidRDefault="00F86DA4" w:rsidP="00F86DA4">
      <w:pPr>
        <w:pStyle w:val="Header"/>
        <w:rPr>
          <w:rFonts w:hint="cs"/>
          <w:rtl/>
        </w:rPr>
      </w:pPr>
    </w:p>
    <w:p w:rsidR="00F86DA4" w:rsidRPr="00FB36BB" w:rsidRDefault="00F86DA4" w:rsidP="00F86DA4">
      <w:pPr>
        <w:pBdr>
          <w:top w:val="thickThinMediumGap" w:sz="24" w:space="2" w:color="808080"/>
          <w:left w:val="thickThinMediumGap" w:sz="24" w:space="0" w:color="808080"/>
          <w:bottom w:val="thickThinMediumGap" w:sz="24" w:space="0" w:color="808080"/>
          <w:right w:val="thickThinMediumGap" w:sz="24" w:space="0" w:color="808080"/>
        </w:pBdr>
        <w:tabs>
          <w:tab w:val="left" w:pos="1416"/>
          <w:tab w:val="right" w:pos="10205"/>
        </w:tabs>
        <w:ind w:right="-180" w:hanging="687"/>
        <w:jc w:val="center"/>
        <w:outlineLvl w:val="0"/>
        <w:rPr>
          <w:rFonts w:hint="cs"/>
          <w:b/>
          <w:bCs/>
          <w:color w:val="000080"/>
          <w:sz w:val="32"/>
          <w:szCs w:val="32"/>
          <w:rtl/>
        </w:rPr>
      </w:pPr>
      <w:r>
        <w:rPr>
          <w:rFonts w:hint="cs"/>
          <w:b/>
          <w:bCs/>
          <w:color w:val="000080"/>
          <w:sz w:val="32"/>
          <w:szCs w:val="32"/>
          <w:rtl/>
        </w:rPr>
        <w:t xml:space="preserve">עדכון פסיקה שבועי מס' </w:t>
      </w:r>
      <w:r>
        <w:rPr>
          <w:b/>
          <w:bCs/>
          <w:color w:val="000080"/>
          <w:sz w:val="32"/>
          <w:szCs w:val="32"/>
        </w:rPr>
        <w:t>- 537</w:t>
      </w:r>
      <w:r w:rsidRPr="00FB36BB">
        <w:rPr>
          <w:rFonts w:hint="cs"/>
          <w:b/>
          <w:bCs/>
          <w:color w:val="000080"/>
          <w:sz w:val="32"/>
          <w:szCs w:val="32"/>
          <w:rtl/>
        </w:rPr>
        <w:t xml:space="preserve"> </w:t>
      </w:r>
      <w:r>
        <w:rPr>
          <w:b/>
          <w:bCs/>
          <w:color w:val="000080"/>
          <w:sz w:val="32"/>
          <w:szCs w:val="32"/>
        </w:rPr>
        <w:t>29.3.15</w:t>
      </w:r>
    </w:p>
    <w:p w:rsidR="00F86DA4" w:rsidRDefault="00F86DA4" w:rsidP="00F86DA4">
      <w:pPr>
        <w:tabs>
          <w:tab w:val="clear" w:pos="0"/>
          <w:tab w:val="left" w:pos="-110"/>
        </w:tabs>
        <w:rPr>
          <w:rFonts w:ascii="Arial" w:eastAsia="Times New Roman" w:hAnsi="Arial" w:hint="cs"/>
          <w:b/>
          <w:bCs/>
          <w:color w:val="FFFFFF"/>
          <w:sz w:val="32"/>
          <w:szCs w:val="36"/>
          <w:u w:val="single"/>
        </w:rPr>
      </w:pPr>
      <w:r>
        <w:rPr>
          <w:noProof/>
        </w:rPr>
        <w:drawing>
          <wp:anchor distT="0" distB="0" distL="114300" distR="114300" simplePos="0" relativeHeight="251661312" behindDoc="1" locked="0" layoutInCell="1" allowOverlap="1">
            <wp:simplePos x="0" y="0"/>
            <wp:positionH relativeFrom="column">
              <wp:posOffset>-182880</wp:posOffset>
            </wp:positionH>
            <wp:positionV relativeFrom="paragraph">
              <wp:posOffset>177165</wp:posOffset>
            </wp:positionV>
            <wp:extent cx="6172200" cy="1189990"/>
            <wp:effectExtent l="0" t="0" r="0" b="0"/>
            <wp:wrapNone/>
            <wp:docPr id="2" name="Picture 2" descr="sit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 strip"/>
                    <pic:cNvPicPr>
                      <a:picLocks noChangeAspect="1" noChangeArrowheads="1"/>
                    </pic:cNvPicPr>
                  </pic:nvPicPr>
                  <pic:blipFill>
                    <a:blip r:embed="rId9">
                      <a:lum bright="6000" contrast="12000"/>
                      <a:extLst>
                        <a:ext uri="{28A0092B-C50C-407E-A947-70E740481C1C}">
                          <a14:useLocalDpi xmlns:a14="http://schemas.microsoft.com/office/drawing/2010/main" val="0"/>
                        </a:ext>
                      </a:extLst>
                    </a:blip>
                    <a:srcRect/>
                    <a:stretch>
                      <a:fillRect/>
                    </a:stretch>
                  </pic:blipFill>
                  <pic:spPr bwMode="auto">
                    <a:xfrm>
                      <a:off x="0" y="0"/>
                      <a:ext cx="61722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DA4" w:rsidRDefault="00F86DA4" w:rsidP="00F86DA4">
      <w:pPr>
        <w:tabs>
          <w:tab w:val="clear" w:pos="0"/>
          <w:tab w:val="left" w:pos="-110"/>
        </w:tabs>
        <w:ind w:left="-151" w:hanging="139"/>
        <w:rPr>
          <w:rFonts w:ascii="Arial" w:eastAsia="Times New Roman" w:hAnsi="Arial" w:hint="cs"/>
          <w:b/>
          <w:bCs/>
          <w:color w:val="FFFFFF"/>
          <w:sz w:val="32"/>
          <w:szCs w:val="36"/>
          <w:u w:val="single"/>
        </w:rPr>
      </w:pPr>
    </w:p>
    <w:p w:rsidR="00F86DA4" w:rsidRDefault="00F86DA4" w:rsidP="00F86DA4">
      <w:pPr>
        <w:tabs>
          <w:tab w:val="clear" w:pos="0"/>
          <w:tab w:val="left" w:pos="-110"/>
        </w:tabs>
        <w:ind w:left="-151" w:hanging="139"/>
        <w:rPr>
          <w:rFonts w:ascii="Arial" w:eastAsia="Times New Roman" w:hAnsi="Arial" w:hint="cs"/>
          <w:b/>
          <w:bCs/>
          <w:color w:val="FFFFFF"/>
          <w:sz w:val="32"/>
          <w:szCs w:val="36"/>
          <w:u w:val="single"/>
        </w:rPr>
      </w:pPr>
    </w:p>
    <w:p w:rsidR="00F86DA4" w:rsidRDefault="00F86DA4" w:rsidP="00F86DA4">
      <w:pPr>
        <w:tabs>
          <w:tab w:val="clear" w:pos="0"/>
          <w:tab w:val="left" w:pos="-110"/>
        </w:tabs>
        <w:ind w:left="-151" w:hanging="139"/>
        <w:rPr>
          <w:rFonts w:ascii="Arial" w:eastAsia="Times New Roman" w:hAnsi="Arial" w:hint="cs"/>
          <w:b/>
          <w:bCs/>
          <w:color w:val="FFFFFF"/>
          <w:sz w:val="32"/>
          <w:szCs w:val="36"/>
          <w:u w:val="single"/>
          <w:rtl/>
        </w:rPr>
      </w:pPr>
    </w:p>
    <w:p w:rsidR="00F86DA4" w:rsidRDefault="00F86DA4" w:rsidP="00F86DA4">
      <w:pPr>
        <w:tabs>
          <w:tab w:val="clear" w:pos="0"/>
          <w:tab w:val="left" w:pos="-110"/>
        </w:tabs>
        <w:ind w:left="-151" w:hanging="139"/>
        <w:rPr>
          <w:rFonts w:ascii="Arial" w:eastAsia="Times New Roman" w:hAnsi="Arial" w:hint="cs"/>
          <w:b/>
          <w:bCs/>
          <w:sz w:val="32"/>
          <w:szCs w:val="36"/>
          <w:u w:val="single"/>
          <w:rtl/>
        </w:rPr>
      </w:pPr>
    </w:p>
    <w:p w:rsidR="00F86DA4" w:rsidRDefault="00F86DA4" w:rsidP="00F86DA4">
      <w:pPr>
        <w:tabs>
          <w:tab w:val="clear" w:pos="0"/>
          <w:tab w:val="left" w:pos="-110"/>
        </w:tabs>
        <w:ind w:left="-151" w:hanging="139"/>
        <w:rPr>
          <w:rFonts w:ascii="Arial" w:eastAsia="Times New Roman" w:hAnsi="Arial" w:hint="cs"/>
          <w:b/>
          <w:bCs/>
          <w:sz w:val="32"/>
          <w:szCs w:val="36"/>
          <w:u w:val="single"/>
          <w:rtl/>
        </w:rPr>
      </w:pPr>
    </w:p>
    <w:p w:rsidR="00F86DA4" w:rsidRDefault="00F86DA4" w:rsidP="00F86DA4">
      <w:pPr>
        <w:tabs>
          <w:tab w:val="clear" w:pos="0"/>
          <w:tab w:val="left" w:pos="-110"/>
        </w:tabs>
        <w:ind w:left="-151" w:hanging="139"/>
        <w:rPr>
          <w:rFonts w:ascii="Arial" w:eastAsia="Times New Roman" w:hAnsi="Arial" w:hint="cs"/>
          <w:b/>
          <w:bCs/>
          <w:sz w:val="32"/>
          <w:szCs w:val="36"/>
          <w:u w:val="single"/>
          <w:rtl/>
        </w:rPr>
      </w:pPr>
    </w:p>
    <w:p w:rsidR="00F86DA4" w:rsidRDefault="00F86DA4" w:rsidP="00F86DA4">
      <w:pPr>
        <w:tabs>
          <w:tab w:val="clear" w:pos="0"/>
          <w:tab w:val="left" w:pos="-110"/>
        </w:tabs>
        <w:ind w:left="-151" w:hanging="139"/>
        <w:rPr>
          <w:rFonts w:ascii="Arial" w:eastAsia="Times New Roman" w:hAnsi="Arial" w:hint="cs"/>
          <w:b/>
          <w:bCs/>
          <w:sz w:val="32"/>
          <w:szCs w:val="36"/>
          <w:u w:val="single"/>
          <w:rtl/>
        </w:rPr>
      </w:pPr>
      <w:r>
        <w:rPr>
          <w:rFonts w:ascii="Arial" w:eastAsia="Times New Roman" w:hAnsi="Arial" w:hint="cs"/>
          <w:b/>
          <w:bCs/>
          <w:sz w:val="32"/>
          <w:szCs w:val="36"/>
          <w:u w:val="single"/>
          <w:rtl/>
        </w:rPr>
        <w:t>בית הדין האזורי לעבודה</w:t>
      </w:r>
    </w:p>
    <w:p w:rsidR="00F86DA4" w:rsidRDefault="00F86DA4" w:rsidP="00F86DA4">
      <w:pPr>
        <w:tabs>
          <w:tab w:val="clear" w:pos="0"/>
          <w:tab w:val="left" w:pos="-110"/>
        </w:tabs>
        <w:ind w:left="-151" w:hanging="139"/>
        <w:rPr>
          <w:rFonts w:ascii="Arial" w:eastAsia="Times New Roman" w:hAnsi="Arial" w:hint="cs"/>
          <w:b/>
          <w:bCs/>
          <w:sz w:val="32"/>
          <w:szCs w:val="36"/>
          <w:u w:val="single"/>
          <w:rtl/>
        </w:rPr>
      </w:pPr>
    </w:p>
    <w:p w:rsidR="00F86DA4" w:rsidRPr="00AA7CA3" w:rsidRDefault="00F86DA4" w:rsidP="00F86DA4">
      <w:pPr>
        <w:numPr>
          <w:ilvl w:val="0"/>
          <w:numId w:val="1"/>
        </w:numPr>
        <w:spacing w:line="360" w:lineRule="auto"/>
        <w:rPr>
          <w:rFonts w:ascii="Arial" w:eastAsia="Times New Roman" w:hAnsi="Arial" w:hint="cs"/>
          <w:b/>
          <w:bCs/>
          <w:color w:val="000080"/>
          <w:sz w:val="28"/>
          <w:szCs w:val="32"/>
          <w:u w:val="single"/>
        </w:rPr>
      </w:pPr>
      <w:r>
        <w:rPr>
          <w:rFonts w:ascii="Arial" w:eastAsia="Times New Roman" w:hAnsi="Arial" w:hint="cs"/>
          <w:b/>
          <w:bCs/>
          <w:color w:val="000080"/>
          <w:sz w:val="28"/>
          <w:szCs w:val="32"/>
          <w:u w:val="single"/>
          <w:rtl/>
        </w:rPr>
        <w:t xml:space="preserve">מנהל חברה חויב אישית לשלם לעובדיו הפרשות סוציאליות </w:t>
      </w:r>
    </w:p>
    <w:p w:rsidR="00F86DA4" w:rsidRDefault="00F86DA4" w:rsidP="00F86DA4">
      <w:pPr>
        <w:tabs>
          <w:tab w:val="clear" w:pos="0"/>
          <w:tab w:val="left" w:pos="-290"/>
        </w:tabs>
        <w:spacing w:line="360" w:lineRule="auto"/>
        <w:ind w:left="52" w:firstLine="0"/>
        <w:rPr>
          <w:rFonts w:hint="cs"/>
          <w:b/>
          <w:bCs/>
          <w:sz w:val="28"/>
          <w:szCs w:val="28"/>
          <w:rtl/>
        </w:rPr>
      </w:pPr>
      <w:r>
        <w:rPr>
          <w:rFonts w:hint="cs"/>
          <w:b/>
          <w:bCs/>
          <w:sz w:val="28"/>
          <w:szCs w:val="28"/>
          <w:rtl/>
        </w:rPr>
        <w:t>עובדים בחברת הנדסת חשמל תבעו את הרמת מסך ההתאגדות וחיוב מעסיקם באופן אישי, בתשלום כספי ההפרשות הסוציאליות, אשר ניכה משכרם מבלי שהעבירם לקרנות. החברה בה הועסקו, הפסיקה פעילותה בשל חדלות פירעון, בהמשך ניתן צו פירוק כנגדה, ובהתאם לכך קיבלו העובדים חלק מהזכויות המגיעות להם, מלבד אלה ש</w:t>
      </w:r>
      <w:bookmarkStart w:id="0" w:name="_GoBack"/>
      <w:bookmarkEnd w:id="0"/>
      <w:r>
        <w:rPr>
          <w:rFonts w:hint="cs"/>
          <w:b/>
          <w:bCs/>
          <w:sz w:val="28"/>
          <w:szCs w:val="28"/>
          <w:rtl/>
        </w:rPr>
        <w:t xml:space="preserve">נתבעו בהליך זה. </w:t>
      </w:r>
    </w:p>
    <w:p w:rsidR="00F86DA4" w:rsidRDefault="00F86DA4" w:rsidP="00F86DA4">
      <w:pPr>
        <w:tabs>
          <w:tab w:val="clear" w:pos="0"/>
          <w:tab w:val="left" w:pos="-290"/>
        </w:tabs>
        <w:spacing w:line="360" w:lineRule="auto"/>
        <w:ind w:left="52" w:firstLine="0"/>
        <w:rPr>
          <w:rFonts w:hint="cs"/>
          <w:b/>
          <w:bCs/>
          <w:sz w:val="28"/>
          <w:szCs w:val="28"/>
          <w:rtl/>
        </w:rPr>
      </w:pPr>
      <w:r>
        <w:rPr>
          <w:rFonts w:hint="cs"/>
          <w:b/>
          <w:bCs/>
          <w:sz w:val="28"/>
          <w:szCs w:val="28"/>
          <w:rtl/>
        </w:rPr>
        <w:t xml:space="preserve">על פי פסיקת בית הדין הארצי, הימנעות המעביד מהפקדות לקרן בשעה שניכה משכרו של העובד את סכומי אותן הפקדות, מהווה עילה להרמת מסך ההתאגדות וחיובו של המנהל באופן אישי. יחד עם זאת, הלכה היא, כי הרמת מסך ההתאגדות אינה עניין שבשגרה אלא חייבות להתקיים נסיבות מיוחדות המצדיקות זאת והמצביעות על שימוש לרעה בעיקרון האישיות המשפטית הנפרדת של החברה. </w:t>
      </w:r>
    </w:p>
    <w:p w:rsidR="00F86DA4" w:rsidRDefault="00F86DA4" w:rsidP="00F86DA4">
      <w:pPr>
        <w:tabs>
          <w:tab w:val="clear" w:pos="0"/>
          <w:tab w:val="left" w:pos="-290"/>
        </w:tabs>
        <w:spacing w:line="360" w:lineRule="auto"/>
        <w:ind w:left="52" w:firstLine="0"/>
        <w:rPr>
          <w:rFonts w:hint="cs"/>
          <w:b/>
          <w:bCs/>
          <w:sz w:val="28"/>
          <w:szCs w:val="28"/>
          <w:rtl/>
        </w:rPr>
      </w:pPr>
      <w:r>
        <w:rPr>
          <w:rFonts w:hint="cs"/>
          <w:b/>
          <w:bCs/>
          <w:sz w:val="28"/>
          <w:szCs w:val="28"/>
          <w:rtl/>
        </w:rPr>
        <w:t>לאחר עיון בדוחות שהומצאו על ידי הקרנות,</w:t>
      </w:r>
      <w:r w:rsidRPr="00996B14">
        <w:rPr>
          <w:rFonts w:hint="cs"/>
          <w:b/>
          <w:bCs/>
          <w:sz w:val="28"/>
          <w:szCs w:val="28"/>
          <w:rtl/>
        </w:rPr>
        <w:t xml:space="preserve"> </w:t>
      </w:r>
      <w:r>
        <w:rPr>
          <w:rFonts w:hint="cs"/>
          <w:b/>
          <w:bCs/>
          <w:sz w:val="28"/>
          <w:szCs w:val="28"/>
          <w:rtl/>
        </w:rPr>
        <w:t xml:space="preserve">בית הדין מצא, כי משך מספר שנים לא בוצעו הפקדות כלל, על אף שנוכה חלקם של העובדים משכרם, ועל כן קבע בית הדין, כי המעסיק יפצה את העובדים באופן אישי בסך כולל של 64,788 ₪ בצירוף שכ"ט עו"ד והוצאות משפט בסך כולל של 3,000 ₪. </w:t>
      </w:r>
    </w:p>
    <w:p w:rsidR="00F86DA4" w:rsidRDefault="00F86DA4" w:rsidP="00F86DA4">
      <w:pPr>
        <w:tabs>
          <w:tab w:val="clear" w:pos="0"/>
          <w:tab w:val="left" w:pos="-290"/>
        </w:tabs>
        <w:spacing w:line="360" w:lineRule="auto"/>
        <w:rPr>
          <w:rtl/>
        </w:rPr>
      </w:pPr>
    </w:p>
    <w:p w:rsidR="00F86DA4" w:rsidRDefault="00F86DA4" w:rsidP="00F86DA4">
      <w:pPr>
        <w:tabs>
          <w:tab w:val="clear" w:pos="0"/>
          <w:tab w:val="left" w:pos="-290"/>
        </w:tabs>
        <w:spacing w:line="360" w:lineRule="auto"/>
        <w:ind w:left="52" w:firstLine="0"/>
        <w:rPr>
          <w:rFonts w:hint="cs"/>
          <w:rtl/>
        </w:rPr>
      </w:pPr>
      <w:proofErr w:type="spellStart"/>
      <w:r>
        <w:rPr>
          <w:rFonts w:hint="cs"/>
          <w:rtl/>
        </w:rPr>
        <w:t>ס"ע</w:t>
      </w:r>
      <w:proofErr w:type="spellEnd"/>
      <w:r>
        <w:rPr>
          <w:rFonts w:hint="cs"/>
          <w:rtl/>
        </w:rPr>
        <w:t xml:space="preserve"> 109-04-12, </w:t>
      </w:r>
      <w:proofErr w:type="spellStart"/>
      <w:r>
        <w:rPr>
          <w:rFonts w:hint="cs"/>
          <w:rtl/>
        </w:rPr>
        <w:t>ס"ע</w:t>
      </w:r>
      <w:proofErr w:type="spellEnd"/>
      <w:r>
        <w:rPr>
          <w:rFonts w:hint="cs"/>
          <w:rtl/>
        </w:rPr>
        <w:t xml:space="preserve"> 125-04-12 </w:t>
      </w:r>
      <w:r w:rsidRPr="008217B8">
        <w:t>●</w:t>
      </w:r>
      <w:r w:rsidRPr="003D5D0B">
        <w:rPr>
          <w:rFonts w:hint="cs"/>
          <w:b/>
          <w:bCs/>
          <w:rtl/>
        </w:rPr>
        <w:t xml:space="preserve"> </w:t>
      </w:r>
      <w:r>
        <w:rPr>
          <w:rFonts w:hint="cs"/>
          <w:b/>
          <w:bCs/>
          <w:rtl/>
        </w:rPr>
        <w:t xml:space="preserve">מאיר אברהם ומרדכי לוי </w:t>
      </w:r>
      <w:r w:rsidRPr="003D5D0B">
        <w:rPr>
          <w:rFonts w:hint="cs"/>
          <w:b/>
          <w:bCs/>
          <w:rtl/>
        </w:rPr>
        <w:t xml:space="preserve">נ' </w:t>
      </w:r>
      <w:r>
        <w:rPr>
          <w:rFonts w:hint="cs"/>
          <w:b/>
          <w:bCs/>
          <w:rtl/>
        </w:rPr>
        <w:t xml:space="preserve">מרדכי </w:t>
      </w:r>
      <w:proofErr w:type="spellStart"/>
      <w:r>
        <w:rPr>
          <w:rFonts w:hint="cs"/>
          <w:b/>
          <w:bCs/>
          <w:rtl/>
        </w:rPr>
        <w:t>אדטו</w:t>
      </w:r>
      <w:proofErr w:type="spellEnd"/>
      <w:r>
        <w:rPr>
          <w:rFonts w:hint="cs"/>
          <w:b/>
          <w:bCs/>
          <w:rtl/>
        </w:rPr>
        <w:t xml:space="preserve"> </w:t>
      </w:r>
      <w:r w:rsidRPr="008217B8">
        <w:t xml:space="preserve"> ●</w:t>
      </w:r>
      <w:r w:rsidRPr="008217B8">
        <w:rPr>
          <w:rFonts w:hint="cs"/>
          <w:rtl/>
        </w:rPr>
        <w:t xml:space="preserve">בפני </w:t>
      </w:r>
      <w:r>
        <w:rPr>
          <w:rFonts w:hint="cs"/>
          <w:rtl/>
        </w:rPr>
        <w:t xml:space="preserve">כב' השופט שמואל </w:t>
      </w:r>
      <w:proofErr w:type="spellStart"/>
      <w:r>
        <w:rPr>
          <w:rFonts w:hint="cs"/>
          <w:rtl/>
        </w:rPr>
        <w:t>טננבוים</w:t>
      </w:r>
      <w:proofErr w:type="spellEnd"/>
      <w:r>
        <w:rPr>
          <w:rFonts w:hint="cs"/>
          <w:rtl/>
        </w:rPr>
        <w:t>, סגן נשיא.</w:t>
      </w:r>
    </w:p>
    <w:p w:rsidR="00F86DA4" w:rsidRDefault="00F86DA4" w:rsidP="00F86DA4">
      <w:pPr>
        <w:tabs>
          <w:tab w:val="clear" w:pos="0"/>
          <w:tab w:val="left" w:pos="-290"/>
        </w:tabs>
        <w:spacing w:line="360" w:lineRule="auto"/>
        <w:rPr>
          <w:rFonts w:hint="cs"/>
        </w:rPr>
      </w:pPr>
    </w:p>
    <w:p w:rsidR="00F86DA4" w:rsidRDefault="00F86DA4" w:rsidP="00F86DA4">
      <w:pPr>
        <w:tabs>
          <w:tab w:val="clear" w:pos="0"/>
          <w:tab w:val="left" w:pos="-290"/>
        </w:tabs>
        <w:spacing w:line="360" w:lineRule="auto"/>
        <w:ind w:left="52" w:firstLine="0"/>
      </w:pPr>
    </w:p>
    <w:p w:rsidR="00F86DA4" w:rsidRDefault="00F86DA4" w:rsidP="00F86DA4">
      <w:pPr>
        <w:tabs>
          <w:tab w:val="clear" w:pos="0"/>
          <w:tab w:val="left" w:pos="-110"/>
        </w:tabs>
        <w:ind w:left="-151" w:hanging="139"/>
        <w:rPr>
          <w:rFonts w:ascii="Arial" w:eastAsia="Times New Roman" w:hAnsi="Arial" w:hint="cs"/>
          <w:b/>
          <w:bCs/>
          <w:sz w:val="32"/>
          <w:szCs w:val="36"/>
          <w:u w:val="single"/>
          <w:rtl/>
        </w:rPr>
      </w:pPr>
    </w:p>
    <w:p w:rsidR="00F86DA4" w:rsidRDefault="00F86DA4" w:rsidP="00F86DA4">
      <w:pPr>
        <w:numPr>
          <w:ilvl w:val="0"/>
          <w:numId w:val="1"/>
        </w:numPr>
        <w:spacing w:line="360" w:lineRule="auto"/>
        <w:ind w:left="360"/>
        <w:rPr>
          <w:rFonts w:hint="cs"/>
          <w:b/>
          <w:bCs/>
          <w:sz w:val="28"/>
          <w:szCs w:val="28"/>
        </w:rPr>
      </w:pPr>
      <w:r>
        <w:rPr>
          <w:rFonts w:ascii="Arial" w:eastAsia="Times New Roman" w:hAnsi="Arial" w:hint="cs"/>
          <w:b/>
          <w:bCs/>
          <w:color w:val="000080"/>
          <w:sz w:val="28"/>
          <w:szCs w:val="32"/>
          <w:u w:val="single"/>
          <w:rtl/>
        </w:rPr>
        <w:t>שיקולי ענישת בני זוג בגין העסקת עובד זר ללא היתר וביטוח.</w:t>
      </w:r>
    </w:p>
    <w:p w:rsidR="00F86DA4" w:rsidRDefault="00F86DA4" w:rsidP="00F86DA4">
      <w:pPr>
        <w:tabs>
          <w:tab w:val="clear" w:pos="0"/>
          <w:tab w:val="left" w:pos="-290"/>
        </w:tabs>
        <w:spacing w:line="360" w:lineRule="auto"/>
        <w:ind w:left="336" w:firstLine="0"/>
        <w:rPr>
          <w:rFonts w:hint="cs"/>
          <w:b/>
          <w:bCs/>
          <w:sz w:val="28"/>
          <w:szCs w:val="28"/>
          <w:rtl/>
        </w:rPr>
      </w:pPr>
      <w:r>
        <w:rPr>
          <w:rFonts w:hint="cs"/>
          <w:b/>
          <w:bCs/>
          <w:sz w:val="28"/>
          <w:szCs w:val="28"/>
          <w:rtl/>
        </w:rPr>
        <w:t xml:space="preserve">בני זוג הואשמו הודו והורשעו כי העסיקו עובדת זרה במשק ביתם, ללא היתר וללא ביטוח רפואי - בניגוד לחוק העסקת עובדים זרים. שירות המבחן המליץ על ביטול ההרשעה והטלת עבודות שירות לתועלת הציבור. </w:t>
      </w:r>
    </w:p>
    <w:p w:rsidR="00F86DA4" w:rsidRDefault="00F86DA4" w:rsidP="00F86DA4">
      <w:pPr>
        <w:tabs>
          <w:tab w:val="clear" w:pos="0"/>
          <w:tab w:val="left" w:pos="-290"/>
        </w:tabs>
        <w:spacing w:line="360" w:lineRule="auto"/>
        <w:ind w:left="336" w:firstLine="0"/>
        <w:rPr>
          <w:rFonts w:hint="cs"/>
          <w:b/>
          <w:bCs/>
          <w:sz w:val="28"/>
          <w:szCs w:val="28"/>
          <w:rtl/>
        </w:rPr>
      </w:pPr>
      <w:r>
        <w:rPr>
          <w:rFonts w:hint="cs"/>
          <w:b/>
          <w:bCs/>
          <w:sz w:val="28"/>
          <w:szCs w:val="28"/>
          <w:rtl/>
        </w:rPr>
        <w:t xml:space="preserve">בית הדין פסק כי בהתאם לסעיף 192א לחוק הסדר הפלילי מקום בו ראה בית המשפט כי ניתן לתת למורשע צו מבחן או שירות לתועלת הציבור ללא הרשעה, רשאי הוא לבטל את ההרשעה ולצוות כאמור. עם זאת, רק בנסיבות יוצאות דופן בהן אין יחס סביר בין הנזק הצפוי מן ההרשעה בדין לחומרת העבירה ינקוט בית המשפט בחלופה של הטלת מבחן ללא הרשעה. נקבע כי אין להקל ראש בחומרת העבירה- העסקת עובדים זרים, אך מסקנות תסקיר המבחן עונות על הדרישה לנסיבות יוצאות דופן להטלת עבודות שירות חלף הרשעה בדין. הבעל הינו אדם נורמטיבי נעדר עבר פלילי ומדובר במעידה ראשונה. הנאשם הפנים את הפסול במעשה והסיכוי להישנות העבירה אינו גבוה, כך שפוחת הצורך בהרתעה אישית של הנאשם באמצעות הרשעתו בדין. מעורבות הבעל  בהעסקת העובדת הזרה הייתה פחותה משל </w:t>
      </w:r>
      <w:proofErr w:type="spellStart"/>
      <w:r>
        <w:rPr>
          <w:rFonts w:hint="cs"/>
          <w:b/>
          <w:bCs/>
          <w:sz w:val="28"/>
          <w:szCs w:val="28"/>
          <w:rtl/>
        </w:rPr>
        <w:t>האשה</w:t>
      </w:r>
      <w:proofErr w:type="spellEnd"/>
      <w:r>
        <w:rPr>
          <w:rFonts w:hint="cs"/>
          <w:b/>
          <w:bCs/>
          <w:sz w:val="28"/>
          <w:szCs w:val="28"/>
          <w:rtl/>
        </w:rPr>
        <w:t xml:space="preserve">, אשר אינו פותר אותו מעונש אך מהווה שיקול רלוונטי על קביעת סוג ומתחם העונש. </w:t>
      </w:r>
    </w:p>
    <w:p w:rsidR="00F86DA4" w:rsidRDefault="00F86DA4" w:rsidP="00F86DA4">
      <w:pPr>
        <w:tabs>
          <w:tab w:val="clear" w:pos="0"/>
          <w:tab w:val="left" w:pos="-290"/>
        </w:tabs>
        <w:spacing w:line="360" w:lineRule="auto"/>
        <w:ind w:left="336" w:firstLine="0"/>
        <w:rPr>
          <w:b/>
          <w:bCs/>
          <w:sz w:val="28"/>
          <w:szCs w:val="28"/>
        </w:rPr>
      </w:pPr>
      <w:r>
        <w:rPr>
          <w:rFonts w:hint="cs"/>
          <w:b/>
          <w:bCs/>
          <w:sz w:val="28"/>
          <w:szCs w:val="28"/>
          <w:rtl/>
        </w:rPr>
        <w:t xml:space="preserve">בית הדין קבע כי מתחם הענישה הראוי עבור הבעל הינו עבודות שירות לתועלת הציבור. על הנאשמת נגזר קנס בסך 20,000 ₪ בגין שתי העבירות, וחתימה על התחייבות כי תמנע מביצוע עבירה דומה לתקופה של שלוש שנים. </w:t>
      </w:r>
    </w:p>
    <w:p w:rsidR="00F86DA4" w:rsidRDefault="00F86DA4" w:rsidP="00F86DA4">
      <w:pPr>
        <w:tabs>
          <w:tab w:val="clear" w:pos="0"/>
          <w:tab w:val="left" w:pos="-290"/>
        </w:tabs>
        <w:ind w:left="52" w:firstLine="0"/>
        <w:rPr>
          <w:rFonts w:hint="cs"/>
          <w:rtl/>
        </w:rPr>
      </w:pPr>
    </w:p>
    <w:p w:rsidR="00F86DA4" w:rsidRDefault="00F86DA4" w:rsidP="00F86DA4">
      <w:pPr>
        <w:tabs>
          <w:tab w:val="clear" w:pos="0"/>
          <w:tab w:val="left" w:pos="-290"/>
        </w:tabs>
        <w:spacing w:line="360" w:lineRule="auto"/>
        <w:ind w:left="336" w:firstLine="0"/>
        <w:rPr>
          <w:rFonts w:hint="cs"/>
          <w:rtl/>
        </w:rPr>
      </w:pPr>
      <w:r>
        <w:rPr>
          <w:rFonts w:hint="cs"/>
          <w:rtl/>
        </w:rPr>
        <w:t xml:space="preserve"> </w:t>
      </w:r>
      <w:proofErr w:type="spellStart"/>
      <w:r>
        <w:rPr>
          <w:rFonts w:hint="cs"/>
          <w:rtl/>
        </w:rPr>
        <w:t>הע'ז</w:t>
      </w:r>
      <w:proofErr w:type="spellEnd"/>
      <w:r>
        <w:rPr>
          <w:rFonts w:hint="cs"/>
          <w:rtl/>
        </w:rPr>
        <w:t xml:space="preserve"> (ת"א) 3102-06-12</w:t>
      </w:r>
      <w:r w:rsidRPr="00A32C47">
        <w:rPr>
          <w:b/>
          <w:bCs/>
        </w:rPr>
        <w:t>●</w:t>
      </w:r>
      <w:r>
        <w:rPr>
          <w:rFonts w:hint="cs"/>
          <w:b/>
          <w:bCs/>
          <w:rtl/>
        </w:rPr>
        <w:t xml:space="preserve"> מדינת ישראל </w:t>
      </w:r>
      <w:r>
        <w:rPr>
          <w:b/>
          <w:bCs/>
          <w:rtl/>
        </w:rPr>
        <w:t>–</w:t>
      </w:r>
      <w:r>
        <w:rPr>
          <w:rFonts w:hint="cs"/>
          <w:b/>
          <w:bCs/>
          <w:rtl/>
        </w:rPr>
        <w:t xml:space="preserve"> רבקה </w:t>
      </w:r>
      <w:proofErr w:type="spellStart"/>
      <w:r>
        <w:rPr>
          <w:rFonts w:hint="cs"/>
          <w:b/>
          <w:bCs/>
          <w:rtl/>
        </w:rPr>
        <w:t>בראז</w:t>
      </w:r>
      <w:proofErr w:type="spellEnd"/>
      <w:r>
        <w:rPr>
          <w:rFonts w:hint="cs"/>
          <w:b/>
          <w:bCs/>
          <w:rtl/>
        </w:rPr>
        <w:t xml:space="preserve"> שורץ </w:t>
      </w:r>
      <w:r>
        <w:rPr>
          <w:b/>
          <w:bCs/>
        </w:rPr>
        <w:t xml:space="preserve"> </w:t>
      </w:r>
      <w:r w:rsidRPr="00A32C47">
        <w:rPr>
          <w:b/>
          <w:bCs/>
        </w:rPr>
        <w:t>●</w:t>
      </w:r>
      <w:r>
        <w:rPr>
          <w:rFonts w:hint="cs"/>
          <w:rtl/>
        </w:rPr>
        <w:t xml:space="preserve">בפני סגנית הנשיאה כב' השופטת הדס     </w:t>
      </w:r>
    </w:p>
    <w:p w:rsidR="00F86DA4" w:rsidRPr="00BF0D3F" w:rsidRDefault="00F86DA4" w:rsidP="00F86DA4">
      <w:pPr>
        <w:tabs>
          <w:tab w:val="clear" w:pos="0"/>
          <w:tab w:val="left" w:pos="-290"/>
        </w:tabs>
        <w:spacing w:line="360" w:lineRule="auto"/>
        <w:ind w:left="336" w:firstLine="0"/>
        <w:rPr>
          <w:rFonts w:hint="cs"/>
          <w:b/>
          <w:bCs/>
          <w:sz w:val="28"/>
          <w:szCs w:val="28"/>
          <w:rtl/>
        </w:rPr>
      </w:pPr>
      <w:r>
        <w:rPr>
          <w:rFonts w:hint="cs"/>
          <w:rtl/>
        </w:rPr>
        <w:t xml:space="preserve"> יהלום</w:t>
      </w:r>
      <w:r>
        <w:rPr>
          <w:rFonts w:hint="cs"/>
          <w:b/>
          <w:bCs/>
          <w:sz w:val="28"/>
          <w:szCs w:val="28"/>
          <w:rtl/>
        </w:rPr>
        <w:t>.</w:t>
      </w:r>
    </w:p>
    <w:p w:rsidR="00F86DA4" w:rsidRPr="00F32FF1" w:rsidRDefault="00F86DA4" w:rsidP="00F86DA4">
      <w:pPr>
        <w:tabs>
          <w:tab w:val="clear" w:pos="0"/>
          <w:tab w:val="left" w:pos="-290"/>
        </w:tabs>
        <w:spacing w:line="360" w:lineRule="auto"/>
        <w:ind w:left="52" w:firstLine="0"/>
        <w:rPr>
          <w:rFonts w:hint="cs"/>
          <w:rtl/>
        </w:rPr>
      </w:pPr>
    </w:p>
    <w:p w:rsidR="00F86DA4" w:rsidRPr="00532DAF" w:rsidRDefault="00F86DA4" w:rsidP="00F86DA4">
      <w:pPr>
        <w:pBdr>
          <w:top w:val="single" w:sz="4" w:space="2" w:color="333333"/>
          <w:left w:val="single" w:sz="4" w:space="0" w:color="333333"/>
          <w:bottom w:val="single" w:sz="4" w:space="0" w:color="333333"/>
          <w:right w:val="single" w:sz="4" w:space="0" w:color="333333"/>
        </w:pBdr>
        <w:shd w:val="clear" w:color="auto" w:fill="8C8C8C"/>
        <w:tabs>
          <w:tab w:val="left" w:pos="1416"/>
          <w:tab w:val="right" w:pos="10205"/>
        </w:tabs>
        <w:ind w:right="-180" w:hanging="687"/>
        <w:jc w:val="center"/>
        <w:outlineLvl w:val="0"/>
        <w:rPr>
          <w:rFonts w:hint="cs"/>
          <w:b/>
          <w:bCs/>
          <w:color w:val="FFFFFF"/>
          <w:szCs w:val="28"/>
          <w:rtl/>
        </w:rPr>
      </w:pPr>
      <w:r w:rsidRPr="00532DAF">
        <w:rPr>
          <w:rFonts w:hint="cs"/>
          <w:b/>
          <w:bCs/>
          <w:color w:val="FFFFFF"/>
          <w:sz w:val="32"/>
          <w:szCs w:val="28"/>
          <w:rtl/>
        </w:rPr>
        <w:t>לפס</w:t>
      </w:r>
      <w:r w:rsidRPr="00532DAF">
        <w:rPr>
          <w:b/>
          <w:bCs/>
          <w:color w:val="FFFFFF"/>
          <w:sz w:val="32"/>
          <w:szCs w:val="28"/>
          <w:rtl/>
        </w:rPr>
        <w:t>יקה המלאה ניתן לפנות לאתר</w:t>
      </w:r>
      <w:hyperlink r:id="rId10" w:history="1">
        <w:r w:rsidRPr="00532DAF">
          <w:rPr>
            <w:rStyle w:val="Hyperlink"/>
            <w:b/>
            <w:bCs/>
            <w:color w:val="FFFFFF"/>
            <w:sz w:val="32"/>
            <w:szCs w:val="28"/>
            <w:rtl/>
          </w:rPr>
          <w:t xml:space="preserve"> </w:t>
        </w:r>
        <w:r w:rsidRPr="00532DAF">
          <w:rPr>
            <w:rStyle w:val="Hyperlink"/>
            <w:b/>
            <w:bCs/>
            <w:color w:val="FFFFFF"/>
            <w:sz w:val="28"/>
            <w:szCs w:val="28"/>
          </w:rPr>
          <w:t>www.nevo.co.il</w:t>
        </w:r>
      </w:hyperlink>
      <w:r w:rsidRPr="00532DAF">
        <w:rPr>
          <w:b/>
          <w:bCs/>
          <w:color w:val="FFFFFF"/>
          <w:sz w:val="32"/>
          <w:szCs w:val="28"/>
          <w:rtl/>
        </w:rPr>
        <w:t xml:space="preserve"> או </w:t>
      </w:r>
      <w:r w:rsidRPr="00532DAF">
        <w:rPr>
          <w:b/>
          <w:bCs/>
          <w:color w:val="FFFFFF"/>
          <w:sz w:val="28"/>
          <w:szCs w:val="28"/>
          <w:rtl/>
        </w:rPr>
        <w:t xml:space="preserve">לאתר </w:t>
      </w:r>
      <w:hyperlink r:id="rId11" w:history="1">
        <w:r w:rsidRPr="00532DAF">
          <w:rPr>
            <w:rStyle w:val="Hyperlink"/>
            <w:b/>
            <w:bCs/>
            <w:color w:val="FFFFFF"/>
            <w:sz w:val="28"/>
            <w:szCs w:val="28"/>
          </w:rPr>
          <w:t>www.court.gov.il</w:t>
        </w:r>
      </w:hyperlink>
    </w:p>
    <w:p w:rsidR="00F86DA4" w:rsidRPr="00CD13D1" w:rsidRDefault="00F86DA4" w:rsidP="00F86DA4">
      <w:pPr>
        <w:tabs>
          <w:tab w:val="clear" w:pos="0"/>
          <w:tab w:val="left" w:pos="90"/>
          <w:tab w:val="left" w:pos="392"/>
        </w:tabs>
        <w:ind w:left="-118" w:right="-180" w:firstLine="0"/>
        <w:rPr>
          <w:rFonts w:ascii="David" w:hAnsi="David" w:hint="cs"/>
          <w:sz w:val="22"/>
          <w:szCs w:val="22"/>
          <w:rtl/>
        </w:rPr>
      </w:pPr>
      <w:r>
        <w:rPr>
          <w:noProof/>
        </w:rPr>
        <w:drawing>
          <wp:anchor distT="0" distB="0" distL="114300" distR="114300" simplePos="0" relativeHeight="251662336" behindDoc="0" locked="0" layoutInCell="1" allowOverlap="1">
            <wp:simplePos x="0" y="0"/>
            <wp:positionH relativeFrom="column">
              <wp:posOffset>1257300</wp:posOffset>
            </wp:positionH>
            <wp:positionV relativeFrom="paragraph">
              <wp:posOffset>103505</wp:posOffset>
            </wp:positionV>
            <wp:extent cx="3312160" cy="737235"/>
            <wp:effectExtent l="0" t="0" r="2540" b="5715"/>
            <wp:wrapSquare wrapText="left"/>
            <wp:docPr id="1" name="Picture 1" descr="תמונה חד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מונה חדשה"/>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12160"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DA4" w:rsidRPr="00CD13D1" w:rsidRDefault="00F86DA4" w:rsidP="00F86DA4">
      <w:pPr>
        <w:tabs>
          <w:tab w:val="clear" w:pos="0"/>
          <w:tab w:val="left" w:pos="90"/>
          <w:tab w:val="left" w:pos="392"/>
        </w:tabs>
        <w:ind w:left="-118" w:right="-180" w:firstLine="0"/>
        <w:jc w:val="left"/>
        <w:rPr>
          <w:rFonts w:ascii="David" w:hAnsi="David" w:hint="cs"/>
          <w:sz w:val="22"/>
          <w:szCs w:val="22"/>
          <w:rtl/>
        </w:rPr>
      </w:pPr>
      <w:r w:rsidRPr="00CD13D1">
        <w:rPr>
          <w:rFonts w:ascii="David" w:hAnsi="David"/>
          <w:sz w:val="22"/>
          <w:szCs w:val="22"/>
          <w:rtl/>
        </w:rPr>
        <w:br w:type="textWrapping" w:clear="all"/>
      </w:r>
    </w:p>
    <w:p w:rsidR="00F86DA4" w:rsidRPr="00532DAF" w:rsidRDefault="00F86DA4" w:rsidP="00F86DA4">
      <w:pPr>
        <w:pBdr>
          <w:top w:val="single" w:sz="4" w:space="2" w:color="333333"/>
          <w:left w:val="single" w:sz="4" w:space="0" w:color="333333"/>
          <w:bottom w:val="single" w:sz="4" w:space="0" w:color="333333"/>
          <w:right w:val="single" w:sz="4" w:space="0" w:color="333333"/>
        </w:pBdr>
        <w:shd w:val="clear" w:color="auto" w:fill="999999"/>
        <w:tabs>
          <w:tab w:val="left" w:pos="1416"/>
          <w:tab w:val="right" w:pos="10205"/>
        </w:tabs>
        <w:ind w:right="-180" w:hanging="687"/>
        <w:jc w:val="center"/>
        <w:outlineLvl w:val="0"/>
        <w:rPr>
          <w:rFonts w:hint="cs"/>
          <w:b/>
          <w:bCs/>
          <w:color w:val="FFFFFF"/>
          <w:szCs w:val="28"/>
        </w:rPr>
      </w:pPr>
      <w:hyperlink r:id="rId13" w:history="1">
        <w:r w:rsidRPr="00532DAF">
          <w:rPr>
            <w:rStyle w:val="Hyperlink"/>
            <w:rFonts w:hint="cs"/>
            <w:b/>
            <w:bCs/>
            <w:color w:val="FFFFFF"/>
            <w:szCs w:val="28"/>
            <w:rtl/>
          </w:rPr>
          <w:t>לחץ כאן</w:t>
        </w:r>
      </w:hyperlink>
      <w:r w:rsidRPr="00532DAF">
        <w:rPr>
          <w:rFonts w:hint="cs"/>
          <w:b/>
          <w:bCs/>
          <w:color w:val="FFFFFF"/>
          <w:szCs w:val="28"/>
          <w:rtl/>
        </w:rPr>
        <w:t xml:space="preserve"> לצפייה באתר </w:t>
      </w:r>
      <w:proofErr w:type="spellStart"/>
      <w:r w:rsidRPr="00532DAF">
        <w:rPr>
          <w:rFonts w:hint="cs"/>
          <w:b/>
          <w:bCs/>
          <w:color w:val="FFFFFF"/>
          <w:szCs w:val="28"/>
          <w:rtl/>
        </w:rPr>
        <w:t>ברנזון</w:t>
      </w:r>
      <w:proofErr w:type="spellEnd"/>
      <w:r w:rsidRPr="00532DAF">
        <w:rPr>
          <w:rFonts w:hint="cs"/>
          <w:b/>
          <w:bCs/>
          <w:color w:val="FFFFFF"/>
          <w:szCs w:val="28"/>
          <w:rtl/>
        </w:rPr>
        <w:t xml:space="preserve"> החדש ולרישום לקבלת </w:t>
      </w:r>
      <w:proofErr w:type="spellStart"/>
      <w:r w:rsidRPr="00532DAF">
        <w:rPr>
          <w:rFonts w:hint="cs"/>
          <w:b/>
          <w:bCs/>
          <w:color w:val="FFFFFF"/>
          <w:szCs w:val="28"/>
          <w:rtl/>
        </w:rPr>
        <w:t>דיוורים</w:t>
      </w:r>
      <w:proofErr w:type="spellEnd"/>
    </w:p>
    <w:p w:rsidR="00F86DA4" w:rsidRDefault="00F86DA4" w:rsidP="00F86DA4">
      <w:pPr>
        <w:pStyle w:val="1"/>
        <w:ind w:left="-492" w:right="-360" w:firstLine="180"/>
        <w:jc w:val="center"/>
        <w:rPr>
          <w:rFonts w:cs="Hayim" w:hint="cs"/>
          <w:spacing w:val="-5"/>
          <w:sz w:val="28"/>
          <w:szCs w:val="28"/>
          <w:rtl/>
        </w:rPr>
      </w:pPr>
    </w:p>
    <w:p w:rsidR="00F86DA4" w:rsidRPr="002D32EA" w:rsidRDefault="00F86DA4" w:rsidP="00F86DA4">
      <w:pPr>
        <w:pStyle w:val="1"/>
        <w:ind w:left="-492" w:right="-360" w:firstLine="180"/>
        <w:rPr>
          <w:rFonts w:cs="Hayim" w:hint="cs"/>
          <w:spacing w:val="-5"/>
          <w:sz w:val="24"/>
          <w:rtl/>
        </w:rPr>
      </w:pPr>
      <w:r w:rsidRPr="00C956D0">
        <w:rPr>
          <w:rFonts w:cs="Times New Roman" w:hint="cs"/>
          <w:spacing w:val="-5"/>
          <w:sz w:val="24"/>
          <w:rtl/>
        </w:rPr>
        <w:t>חיים</w:t>
      </w:r>
      <w:r w:rsidRPr="00C956D0">
        <w:rPr>
          <w:rFonts w:cs="Hayim"/>
          <w:spacing w:val="-5"/>
          <w:sz w:val="24"/>
          <w:rtl/>
        </w:rPr>
        <w:t xml:space="preserve"> </w:t>
      </w:r>
      <w:proofErr w:type="spellStart"/>
      <w:r w:rsidRPr="00C956D0">
        <w:rPr>
          <w:rFonts w:cs="Times New Roman" w:hint="cs"/>
          <w:spacing w:val="-5"/>
          <w:sz w:val="24"/>
          <w:rtl/>
        </w:rPr>
        <w:t>ברנזון</w:t>
      </w:r>
      <w:proofErr w:type="spellEnd"/>
      <w:r w:rsidRPr="00C956D0">
        <w:rPr>
          <w:rFonts w:cs="Hayim"/>
          <w:spacing w:val="-5"/>
          <w:sz w:val="24"/>
          <w:rtl/>
        </w:rPr>
        <w:t>,</w:t>
      </w:r>
      <w:r w:rsidRPr="002D32EA">
        <w:rPr>
          <w:rFonts w:cs="Hayim"/>
          <w:spacing w:val="-5"/>
          <w:sz w:val="24"/>
          <w:rtl/>
        </w:rPr>
        <w:t xml:space="preserve"> </w:t>
      </w:r>
      <w:r w:rsidRPr="00C956D0">
        <w:rPr>
          <w:rFonts w:cs="Times New Roman" w:hint="cs"/>
          <w:spacing w:val="-5"/>
          <w:sz w:val="24"/>
          <w:rtl/>
        </w:rPr>
        <w:t>משרד</w:t>
      </w:r>
      <w:r w:rsidRPr="00C956D0">
        <w:rPr>
          <w:rFonts w:cs="Hayim"/>
          <w:spacing w:val="-5"/>
          <w:sz w:val="24"/>
          <w:rtl/>
        </w:rPr>
        <w:t xml:space="preserve"> </w:t>
      </w:r>
      <w:r w:rsidRPr="00C956D0">
        <w:rPr>
          <w:rFonts w:cs="Times New Roman" w:hint="cs"/>
          <w:spacing w:val="-5"/>
          <w:sz w:val="24"/>
          <w:rtl/>
        </w:rPr>
        <w:t>עורכי</w:t>
      </w:r>
      <w:r w:rsidRPr="00C956D0">
        <w:rPr>
          <w:rFonts w:cs="Hayim"/>
          <w:spacing w:val="-5"/>
          <w:sz w:val="24"/>
          <w:rtl/>
        </w:rPr>
        <w:t xml:space="preserve"> </w:t>
      </w:r>
      <w:r w:rsidRPr="00C956D0">
        <w:rPr>
          <w:rFonts w:cs="Times New Roman" w:hint="cs"/>
          <w:spacing w:val="-5"/>
          <w:sz w:val="24"/>
          <w:rtl/>
        </w:rPr>
        <w:t>דין</w:t>
      </w:r>
      <w:r w:rsidRPr="00C956D0">
        <w:rPr>
          <w:rFonts w:cs="Hayim"/>
          <w:spacing w:val="-5"/>
          <w:sz w:val="24"/>
          <w:rtl/>
        </w:rPr>
        <w:t xml:space="preserve">, </w:t>
      </w:r>
      <w:r w:rsidRPr="00C956D0">
        <w:rPr>
          <w:rFonts w:cs="Times New Roman" w:hint="cs"/>
          <w:spacing w:val="-5"/>
          <w:sz w:val="24"/>
          <w:rtl/>
        </w:rPr>
        <w:t>חבצלת</w:t>
      </w:r>
      <w:r w:rsidRPr="00C956D0">
        <w:rPr>
          <w:rFonts w:cs="Hayim"/>
          <w:spacing w:val="-5"/>
          <w:sz w:val="24"/>
          <w:rtl/>
        </w:rPr>
        <w:t xml:space="preserve"> </w:t>
      </w:r>
      <w:r w:rsidRPr="00C956D0">
        <w:rPr>
          <w:rFonts w:cs="Times New Roman" w:hint="cs"/>
          <w:spacing w:val="-5"/>
          <w:sz w:val="24"/>
          <w:rtl/>
        </w:rPr>
        <w:t>השרון</w:t>
      </w:r>
      <w:r w:rsidRPr="00C956D0">
        <w:rPr>
          <w:rFonts w:cs="Hayim"/>
          <w:spacing w:val="-5"/>
          <w:sz w:val="24"/>
          <w:rtl/>
        </w:rPr>
        <w:t xml:space="preserve"> 60, </w:t>
      </w:r>
      <w:r w:rsidRPr="00C956D0">
        <w:rPr>
          <w:rFonts w:cs="Times New Roman" w:hint="cs"/>
          <w:spacing w:val="-5"/>
          <w:sz w:val="24"/>
          <w:rtl/>
        </w:rPr>
        <w:t>הרצליה</w:t>
      </w:r>
      <w:r w:rsidRPr="00C956D0">
        <w:rPr>
          <w:rFonts w:cs="Hayim"/>
          <w:spacing w:val="-5"/>
          <w:sz w:val="24"/>
          <w:rtl/>
        </w:rPr>
        <w:t xml:space="preserve"> </w:t>
      </w:r>
      <w:r w:rsidRPr="00C956D0">
        <w:rPr>
          <w:rFonts w:cs="Times New Roman" w:hint="cs"/>
          <w:spacing w:val="-5"/>
          <w:sz w:val="24"/>
          <w:rtl/>
        </w:rPr>
        <w:t>פיתוח</w:t>
      </w:r>
      <w:r w:rsidRPr="00C956D0">
        <w:rPr>
          <w:rFonts w:cs="Hayim"/>
          <w:spacing w:val="-5"/>
          <w:sz w:val="24"/>
          <w:rtl/>
        </w:rPr>
        <w:t xml:space="preserve"> 46747</w:t>
      </w:r>
      <w:r w:rsidRPr="000D79FD">
        <w:rPr>
          <w:rFonts w:cs="Hayim" w:hint="cs"/>
          <w:spacing w:val="-5"/>
          <w:sz w:val="24"/>
          <w:rtl/>
        </w:rPr>
        <w:t>20</w:t>
      </w:r>
      <w:r w:rsidRPr="002C4D58">
        <w:rPr>
          <w:rFonts w:cs="Hayim" w:hint="cs"/>
          <w:spacing w:val="-5"/>
          <w:sz w:val="24"/>
          <w:rtl/>
        </w:rPr>
        <w:t>,</w:t>
      </w:r>
      <w:r w:rsidRPr="002D32EA">
        <w:rPr>
          <w:rFonts w:cs="Hayim" w:hint="cs"/>
          <w:spacing w:val="-5"/>
          <w:sz w:val="24"/>
          <w:rtl/>
        </w:rPr>
        <w:t xml:space="preserve"> </w:t>
      </w:r>
      <w:r w:rsidRPr="002D32EA">
        <w:rPr>
          <w:rFonts w:cs="Times New Roman" w:hint="cs"/>
          <w:spacing w:val="-5"/>
          <w:sz w:val="24"/>
          <w:rtl/>
        </w:rPr>
        <w:t>טל</w:t>
      </w:r>
      <w:r w:rsidRPr="002D32EA">
        <w:rPr>
          <w:rFonts w:cs="Hayim" w:hint="cs"/>
          <w:spacing w:val="-5"/>
          <w:sz w:val="24"/>
          <w:rtl/>
        </w:rPr>
        <w:t xml:space="preserve">': 09-9568339, </w:t>
      </w:r>
      <w:r w:rsidRPr="002D32EA">
        <w:rPr>
          <w:rFonts w:cs="Times New Roman" w:hint="cs"/>
          <w:spacing w:val="-5"/>
          <w:sz w:val="24"/>
          <w:rtl/>
        </w:rPr>
        <w:t>פקס</w:t>
      </w:r>
      <w:r w:rsidRPr="002D32EA">
        <w:rPr>
          <w:rFonts w:cs="Hayim" w:hint="cs"/>
          <w:spacing w:val="-5"/>
          <w:sz w:val="24"/>
          <w:rtl/>
        </w:rPr>
        <w:t>: 09-9509129</w:t>
      </w:r>
    </w:p>
    <w:p w:rsidR="00F86DA4" w:rsidRDefault="00F86DA4" w:rsidP="00F86DA4">
      <w:pPr>
        <w:tabs>
          <w:tab w:val="clear" w:pos="0"/>
          <w:tab w:val="left" w:pos="-290"/>
        </w:tabs>
        <w:spacing w:line="360" w:lineRule="auto"/>
        <w:ind w:left="52" w:firstLine="0"/>
        <w:rPr>
          <w:rFonts w:hint="cs"/>
          <w:rtl/>
        </w:rPr>
      </w:pPr>
    </w:p>
    <w:p w:rsidR="006549D5" w:rsidRDefault="00F86DA4">
      <w:pPr>
        <w:rPr>
          <w:rFonts w:hint="cs"/>
        </w:rPr>
      </w:pPr>
    </w:p>
    <w:sectPr w:rsidR="006549D5" w:rsidSect="00FB36BB">
      <w:footerReference w:type="even" r:id="rId14"/>
      <w:footerReference w:type="default" r:id="rId15"/>
      <w:pgSz w:w="11906" w:h="16838"/>
      <w:pgMar w:top="1418" w:right="1418" w:bottom="1418" w:left="1440" w:header="720" w:footer="720" w:gutter="0"/>
      <w:pgBorders w:offsetFrom="page">
        <w:top w:val="single" w:sz="8" w:space="24" w:color="FFFFFF"/>
        <w:left w:val="single" w:sz="8" w:space="24" w:color="FFFFFF"/>
        <w:bottom w:val="single" w:sz="8" w:space="24" w:color="FFFFFF"/>
        <w:right w:val="single" w:sz="8" w:space="24" w:color="FFFFFF"/>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Hay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3F" w:rsidRDefault="00F86DA4" w:rsidP="00C31B56">
    <w:pPr>
      <w:pStyle w:val="Footer"/>
      <w:framePr w:wrap="around" w:vAnchor="text" w:hAnchor="text" w:y="1"/>
      <w:rPr>
        <w:rStyle w:val="PageNumber"/>
      </w:rPr>
    </w:pPr>
    <w:r>
      <w:rPr>
        <w:rStyle w:val="PageNumber"/>
        <w:rtl/>
      </w:rPr>
      <w:fldChar w:fldCharType="begin"/>
    </w:r>
    <w:r>
      <w:rPr>
        <w:rStyle w:val="PageNumber"/>
      </w:rPr>
      <w:instrText>P</w:instrText>
    </w:r>
    <w:r>
      <w:rPr>
        <w:rStyle w:val="PageNumber"/>
      </w:rPr>
      <w:instrText xml:space="preserve">AGE  </w:instrText>
    </w:r>
    <w:r>
      <w:rPr>
        <w:rStyle w:val="PageNumber"/>
        <w:rtl/>
      </w:rPr>
      <w:fldChar w:fldCharType="end"/>
    </w:r>
  </w:p>
  <w:p w:rsidR="00BF0D3F" w:rsidRDefault="00F86DA4" w:rsidP="00231E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D3F" w:rsidRPr="00231EDE" w:rsidRDefault="00F86DA4" w:rsidP="00231EDE">
    <w:pPr>
      <w:pStyle w:val="Footer"/>
      <w:framePr w:wrap="around" w:vAnchor="text" w:hAnchor="text" w:y="1"/>
      <w:jc w:val="center"/>
      <w:rPr>
        <w:rStyle w:val="PageNumber"/>
        <w:b/>
        <w:bCs/>
        <w:color w:val="FFFFFF"/>
      </w:rPr>
    </w:pPr>
    <w:r w:rsidRPr="00231EDE">
      <w:rPr>
        <w:rStyle w:val="PageNumber"/>
        <w:b/>
        <w:bCs/>
        <w:color w:val="FFFFFF"/>
        <w:rtl/>
      </w:rPr>
      <w:fldChar w:fldCharType="begin"/>
    </w:r>
    <w:r w:rsidRPr="00231EDE">
      <w:rPr>
        <w:rStyle w:val="PageNumber"/>
        <w:b/>
        <w:bCs/>
        <w:color w:val="FFFFFF"/>
      </w:rPr>
      <w:instrText xml:space="preserve">PAGE  </w:instrText>
    </w:r>
    <w:r w:rsidRPr="00231EDE">
      <w:rPr>
        <w:rStyle w:val="PageNumber"/>
        <w:b/>
        <w:bCs/>
        <w:color w:val="FFFFFF"/>
        <w:rtl/>
      </w:rPr>
      <w:fldChar w:fldCharType="separate"/>
    </w:r>
    <w:r>
      <w:rPr>
        <w:rStyle w:val="PageNumber"/>
        <w:b/>
        <w:bCs/>
        <w:noProof/>
        <w:color w:val="FFFFFF"/>
        <w:rtl/>
      </w:rPr>
      <w:t>2</w:t>
    </w:r>
    <w:r w:rsidRPr="00231EDE">
      <w:rPr>
        <w:rStyle w:val="PageNumber"/>
        <w:b/>
        <w:bCs/>
        <w:color w:val="FFFFFF"/>
        <w:rtl/>
      </w:rPr>
      <w:fldChar w:fldCharType="end"/>
    </w:r>
  </w:p>
  <w:p w:rsidR="00BF0D3F" w:rsidRDefault="00F86DA4" w:rsidP="00231EDE">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92977"/>
    <w:multiLevelType w:val="hybridMultilevel"/>
    <w:tmpl w:val="F572CB2C"/>
    <w:lvl w:ilvl="0" w:tplc="D68E7EC2">
      <w:start w:val="1"/>
      <w:numFmt w:val="decimal"/>
      <w:lvlText w:val="%1."/>
      <w:lvlJc w:val="left"/>
      <w:pPr>
        <w:ind w:left="52" w:hanging="360"/>
      </w:pPr>
      <w:rPr>
        <w:rFonts w:hint="default"/>
        <w:b/>
        <w:bCs/>
        <w:color w:val="002060"/>
        <w:sz w:val="32"/>
        <w:szCs w:val="32"/>
      </w:r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DA4"/>
    <w:rsid w:val="007A6439"/>
    <w:rsid w:val="00DD52C2"/>
    <w:rsid w:val="00F86D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A4"/>
    <w:pPr>
      <w:tabs>
        <w:tab w:val="left" w:pos="0"/>
      </w:tabs>
      <w:bidi/>
      <w:spacing w:after="0" w:line="240" w:lineRule="auto"/>
      <w:ind w:left="397" w:hanging="397"/>
      <w:jc w:val="both"/>
    </w:pPr>
    <w:rPr>
      <w:rFonts w:ascii="Times New Roman" w:eastAsia="Calibri"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6DA4"/>
    <w:rPr>
      <w:rFonts w:cs="Miriam"/>
      <w:color w:val="0000FF"/>
      <w:u w:val="single"/>
      <w:lang w:bidi="he-IL"/>
    </w:rPr>
  </w:style>
  <w:style w:type="paragraph" w:styleId="Header">
    <w:name w:val="header"/>
    <w:basedOn w:val="Normal"/>
    <w:link w:val="HeaderChar"/>
    <w:rsid w:val="00F86DA4"/>
    <w:pPr>
      <w:tabs>
        <w:tab w:val="clear" w:pos="0"/>
        <w:tab w:val="center" w:pos="4153"/>
        <w:tab w:val="right" w:pos="8306"/>
      </w:tabs>
      <w:ind w:left="0" w:firstLine="0"/>
      <w:jc w:val="left"/>
    </w:pPr>
    <w:rPr>
      <w:rFonts w:eastAsia="Times New Roman"/>
      <w:noProof/>
    </w:rPr>
  </w:style>
  <w:style w:type="character" w:customStyle="1" w:styleId="HeaderChar">
    <w:name w:val="Header Char"/>
    <w:basedOn w:val="DefaultParagraphFont"/>
    <w:link w:val="Header"/>
    <w:rsid w:val="00F86DA4"/>
    <w:rPr>
      <w:rFonts w:ascii="Times New Roman" w:eastAsia="Times New Roman" w:hAnsi="Times New Roman" w:cs="David"/>
      <w:noProof/>
      <w:sz w:val="24"/>
      <w:szCs w:val="24"/>
    </w:rPr>
  </w:style>
  <w:style w:type="paragraph" w:styleId="Footer">
    <w:name w:val="footer"/>
    <w:basedOn w:val="Normal"/>
    <w:link w:val="FooterChar"/>
    <w:rsid w:val="00F86DA4"/>
    <w:pPr>
      <w:tabs>
        <w:tab w:val="clear" w:pos="0"/>
        <w:tab w:val="center" w:pos="4153"/>
        <w:tab w:val="right" w:pos="8306"/>
      </w:tabs>
      <w:ind w:left="0" w:firstLine="0"/>
      <w:jc w:val="left"/>
    </w:pPr>
    <w:rPr>
      <w:rFonts w:eastAsia="Times New Roman" w:cs="Times New Roman"/>
    </w:rPr>
  </w:style>
  <w:style w:type="character" w:customStyle="1" w:styleId="FooterChar">
    <w:name w:val="Footer Char"/>
    <w:basedOn w:val="DefaultParagraphFont"/>
    <w:link w:val="Footer"/>
    <w:rsid w:val="00F86DA4"/>
    <w:rPr>
      <w:rFonts w:ascii="Times New Roman" w:eastAsia="Times New Roman" w:hAnsi="Times New Roman" w:cs="Times New Roman"/>
      <w:sz w:val="24"/>
      <w:szCs w:val="24"/>
    </w:rPr>
  </w:style>
  <w:style w:type="character" w:styleId="PageNumber">
    <w:name w:val="page number"/>
    <w:rsid w:val="00F86DA4"/>
    <w:rPr>
      <w:noProof w:val="0"/>
    </w:rPr>
  </w:style>
  <w:style w:type="paragraph" w:customStyle="1" w:styleId="1">
    <w:name w:val="רגיל1"/>
    <w:rsid w:val="00F86DA4"/>
    <w:pPr>
      <w:bidi/>
      <w:snapToGrid w:val="0"/>
      <w:spacing w:after="0" w:line="240" w:lineRule="auto"/>
    </w:pPr>
    <w:rPr>
      <w:rFonts w:ascii="Times New Roman" w:eastAsia="Times New Roman" w:hAnsi="Times New Roman" w:cs="David"/>
      <w:sz w:val="20"/>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DA4"/>
    <w:pPr>
      <w:tabs>
        <w:tab w:val="left" w:pos="0"/>
      </w:tabs>
      <w:bidi/>
      <w:spacing w:after="0" w:line="240" w:lineRule="auto"/>
      <w:ind w:left="397" w:hanging="397"/>
      <w:jc w:val="both"/>
    </w:pPr>
    <w:rPr>
      <w:rFonts w:ascii="Times New Roman" w:eastAsia="Calibri" w:hAnsi="Times New Roman" w:cs="Dav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6DA4"/>
    <w:rPr>
      <w:rFonts w:cs="Miriam"/>
      <w:color w:val="0000FF"/>
      <w:u w:val="single"/>
      <w:lang w:bidi="he-IL"/>
    </w:rPr>
  </w:style>
  <w:style w:type="paragraph" w:styleId="Header">
    <w:name w:val="header"/>
    <w:basedOn w:val="Normal"/>
    <w:link w:val="HeaderChar"/>
    <w:rsid w:val="00F86DA4"/>
    <w:pPr>
      <w:tabs>
        <w:tab w:val="clear" w:pos="0"/>
        <w:tab w:val="center" w:pos="4153"/>
        <w:tab w:val="right" w:pos="8306"/>
      </w:tabs>
      <w:ind w:left="0" w:firstLine="0"/>
      <w:jc w:val="left"/>
    </w:pPr>
    <w:rPr>
      <w:rFonts w:eastAsia="Times New Roman"/>
      <w:noProof/>
    </w:rPr>
  </w:style>
  <w:style w:type="character" w:customStyle="1" w:styleId="HeaderChar">
    <w:name w:val="Header Char"/>
    <w:basedOn w:val="DefaultParagraphFont"/>
    <w:link w:val="Header"/>
    <w:rsid w:val="00F86DA4"/>
    <w:rPr>
      <w:rFonts w:ascii="Times New Roman" w:eastAsia="Times New Roman" w:hAnsi="Times New Roman" w:cs="David"/>
      <w:noProof/>
      <w:sz w:val="24"/>
      <w:szCs w:val="24"/>
    </w:rPr>
  </w:style>
  <w:style w:type="paragraph" w:styleId="Footer">
    <w:name w:val="footer"/>
    <w:basedOn w:val="Normal"/>
    <w:link w:val="FooterChar"/>
    <w:rsid w:val="00F86DA4"/>
    <w:pPr>
      <w:tabs>
        <w:tab w:val="clear" w:pos="0"/>
        <w:tab w:val="center" w:pos="4153"/>
        <w:tab w:val="right" w:pos="8306"/>
      </w:tabs>
      <w:ind w:left="0" w:firstLine="0"/>
      <w:jc w:val="left"/>
    </w:pPr>
    <w:rPr>
      <w:rFonts w:eastAsia="Times New Roman" w:cs="Times New Roman"/>
    </w:rPr>
  </w:style>
  <w:style w:type="character" w:customStyle="1" w:styleId="FooterChar">
    <w:name w:val="Footer Char"/>
    <w:basedOn w:val="DefaultParagraphFont"/>
    <w:link w:val="Footer"/>
    <w:rsid w:val="00F86DA4"/>
    <w:rPr>
      <w:rFonts w:ascii="Times New Roman" w:eastAsia="Times New Roman" w:hAnsi="Times New Roman" w:cs="Times New Roman"/>
      <w:sz w:val="24"/>
      <w:szCs w:val="24"/>
    </w:rPr>
  </w:style>
  <w:style w:type="character" w:styleId="PageNumber">
    <w:name w:val="page number"/>
    <w:rsid w:val="00F86DA4"/>
    <w:rPr>
      <w:noProof w:val="0"/>
    </w:rPr>
  </w:style>
  <w:style w:type="paragraph" w:customStyle="1" w:styleId="1">
    <w:name w:val="רגיל1"/>
    <w:rsid w:val="00F86DA4"/>
    <w:pPr>
      <w:bidi/>
      <w:snapToGrid w:val="0"/>
      <w:spacing w:after="0" w:line="240" w:lineRule="auto"/>
    </w:pPr>
    <w:rPr>
      <w:rFonts w:ascii="Times New Roman" w:eastAsia="Times New Roman" w:hAnsi="Times New Roman" w:cs="David"/>
      <w:sz w:val="20"/>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ages.webydo.com/12/123940/3958/%D7%9C%D7%95%D7%92%D7%95-%D7%A0%D7%92%D7%98%D7%99%D7%91.png?v=44624101212" TargetMode="External"/><Relationship Id="rId13" Type="http://schemas.openxmlformats.org/officeDocument/2006/relationships/hyperlink" Target="http://bernzon.kidumnet.co.il/contact_rtl.html?v=44624101212"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www.court.gov.i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vo.co.i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2533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Shemer</dc:creator>
  <cp:lastModifiedBy>Michal Shemer</cp:lastModifiedBy>
  <cp:revision>1</cp:revision>
  <dcterms:created xsi:type="dcterms:W3CDTF">2015-03-29T08:01:00Z</dcterms:created>
  <dcterms:modified xsi:type="dcterms:W3CDTF">2015-03-29T08:02:00Z</dcterms:modified>
</cp:coreProperties>
</file>