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2BB" w:rsidRPr="00CD13D1" w:rsidRDefault="00365DA8" w:rsidP="00BB4B32">
      <w:pPr>
        <w:pStyle w:val="a4"/>
        <w:rPr>
          <w:b/>
          <w:bCs/>
          <w:szCs w:val="28"/>
          <w:rtl/>
        </w:rPr>
      </w:pPr>
      <w:bookmarkStart w:id="0" w:name="_Toc259086638"/>
      <w:r>
        <w:rPr>
          <w:rFonts w:ascii="a_Miriam" w:hAnsi="a_Miriam" w:cs="NarkisTam Light"/>
          <w:b/>
          <w:bCs/>
          <w:noProof/>
          <w:sz w:val="22"/>
          <w:szCs w:val="22"/>
        </w:rPr>
        <w:drawing>
          <wp:anchor distT="0" distB="0" distL="114300" distR="114300" simplePos="0" relativeHeight="251674624" behindDoc="1" locked="0" layoutInCell="1" allowOverlap="1" wp14:anchorId="4AF22D4C" wp14:editId="47C086CA">
            <wp:simplePos x="0" y="0"/>
            <wp:positionH relativeFrom="column">
              <wp:posOffset>2969260</wp:posOffset>
            </wp:positionH>
            <wp:positionV relativeFrom="paragraph">
              <wp:posOffset>-605155</wp:posOffset>
            </wp:positionV>
            <wp:extent cx="2934335" cy="559435"/>
            <wp:effectExtent l="76200" t="76200" r="75565" b="69215"/>
            <wp:wrapTight wrapText="bothSides">
              <wp:wrapPolygon edited="0">
                <wp:start x="-561" y="-2942"/>
                <wp:lineTo x="-561" y="23537"/>
                <wp:lineTo x="22016" y="23537"/>
                <wp:lineTo x="22016" y="-2942"/>
                <wp:lineTo x="-561" y="-2942"/>
              </wp:wrapPolygon>
            </wp:wrapTight>
            <wp:docPr id="12" name="תמונה 12" descr="ברנז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ברנזון"/>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4335" cy="559435"/>
                    </a:xfrm>
                    <a:prstGeom prst="rect">
                      <a:avLst/>
                    </a:prstGeom>
                    <a:noFill/>
                    <a:ln w="7620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5B29F9" w:rsidRPr="00BB4B32">
        <w:rPr>
          <w:b/>
          <w:bCs/>
          <w:noProof/>
          <w:color w:val="333333"/>
          <w:szCs w:val="28"/>
          <w:rtl/>
        </w:rPr>
        <mc:AlternateContent>
          <mc:Choice Requires="wps">
            <w:drawing>
              <wp:anchor distT="0" distB="0" distL="114300" distR="114300" simplePos="0" relativeHeight="251665408" behindDoc="1" locked="0" layoutInCell="1" allowOverlap="1" wp14:anchorId="251DF14E" wp14:editId="08BF0D10">
                <wp:simplePos x="0" y="0"/>
                <wp:positionH relativeFrom="column">
                  <wp:posOffset>-220980</wp:posOffset>
                </wp:positionH>
                <wp:positionV relativeFrom="paragraph">
                  <wp:posOffset>-483235</wp:posOffset>
                </wp:positionV>
                <wp:extent cx="2374265" cy="339725"/>
                <wp:effectExtent l="0" t="0" r="0" b="3175"/>
                <wp:wrapTight wrapText="bothSides">
                  <wp:wrapPolygon edited="0">
                    <wp:start x="0" y="0"/>
                    <wp:lineTo x="0" y="20591"/>
                    <wp:lineTo x="21385" y="20591"/>
                    <wp:lineTo x="21385" y="0"/>
                    <wp:lineTo x="0" y="0"/>
                  </wp:wrapPolygon>
                </wp:wrapTight>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339725"/>
                        </a:xfrm>
                        <a:prstGeom prst="rect">
                          <a:avLst/>
                        </a:prstGeom>
                        <a:solidFill>
                          <a:srgbClr val="FFFFFF"/>
                        </a:solidFill>
                        <a:ln w="9525">
                          <a:noFill/>
                          <a:miter lim="800000"/>
                          <a:headEnd/>
                          <a:tailEnd/>
                        </a:ln>
                      </wps:spPr>
                      <wps:txbx>
                        <w:txbxContent>
                          <w:p w:rsidR="00F46847" w:rsidRPr="00C710DD" w:rsidRDefault="00F46847" w:rsidP="00BB4B32">
                            <w:pPr>
                              <w:pStyle w:val="a4"/>
                              <w:jc w:val="center"/>
                              <w:rPr>
                                <w:b/>
                                <w:bCs/>
                                <w:color w:val="333333"/>
                                <w:szCs w:val="28"/>
                                <w:rtl/>
                              </w:rPr>
                            </w:pPr>
                            <w:r w:rsidRPr="00C710DD">
                              <w:rPr>
                                <w:rFonts w:hint="cs"/>
                                <w:b/>
                                <w:bCs/>
                                <w:color w:val="333333"/>
                                <w:szCs w:val="28"/>
                                <w:rtl/>
                              </w:rPr>
                              <w:t>משרד בוטיק בדיני עבודה</w:t>
                            </w:r>
                          </w:p>
                          <w:p w:rsidR="00F46847" w:rsidRDefault="00F46847" w:rsidP="00BB4B32">
                            <w:pPr>
                              <w:rPr>
                                <w:rtl/>
                                <w:c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left:0;text-align:left;margin-left:-17.4pt;margin-top:-38.05pt;width:186.95pt;height:26.75pt;flip:x;z-index:-2516510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" stroked="f">
                <v:textbox>
                  <w:txbxContent>
                    <w:p w:rsidR="0070250D" w:rsidRPr="00C710DD" w:rsidRDefault="0070250D" w:rsidP="00BB4B32">
                      <w:pPr>
                        <w:pStyle w:val="a4"/>
                        <w:jc w:val="center"/>
                        <w:rPr>
                          <w:rFonts w:hint="cs"/>
                          <w:b/>
                          <w:bCs/>
                          <w:color w:val="333333"/>
                          <w:szCs w:val="28"/>
                          <w:rtl/>
                        </w:rPr>
                      </w:pPr>
                      <w:r w:rsidRPr="00C710DD">
                        <w:rPr>
                          <w:rFonts w:hint="cs"/>
                          <w:b/>
                          <w:bCs/>
                          <w:color w:val="333333"/>
                          <w:szCs w:val="28"/>
                          <w:rtl/>
                        </w:rPr>
                        <w:t>משרד בוטיק בדיני עבודה</w:t>
                      </w:r>
                    </w:p>
                    <w:p w:rsidR="0070250D" w:rsidRDefault="0070250D" w:rsidP="00BB4B32">
                      <w:pPr>
                        <w:rPr>
                          <w:cs/>
                        </w:rPr>
                      </w:pPr>
                    </w:p>
                  </w:txbxContent>
                </v:textbox>
                <w10:wrap type="tight"/>
              </v:shape>
            </w:pict>
          </mc:Fallback>
        </mc:AlternateContent>
      </w:r>
      <w:r w:rsidR="005B29F9">
        <w:rPr>
          <w:noProof/>
        </w:rPr>
        <w:drawing>
          <wp:anchor distT="0" distB="0" distL="114300" distR="114300" simplePos="0" relativeHeight="251663360" behindDoc="1" locked="0" layoutInCell="1" allowOverlap="1" wp14:anchorId="2464DC7B" wp14:editId="4C6B20F7">
            <wp:simplePos x="0" y="0"/>
            <wp:positionH relativeFrom="column">
              <wp:posOffset>-187960</wp:posOffset>
            </wp:positionH>
            <wp:positionV relativeFrom="paragraph">
              <wp:posOffset>227965</wp:posOffset>
            </wp:positionV>
            <wp:extent cx="6172200" cy="1189990"/>
            <wp:effectExtent l="0" t="0" r="0" b="0"/>
            <wp:wrapTight wrapText="bothSides">
              <wp:wrapPolygon edited="0">
                <wp:start x="0" y="0"/>
                <wp:lineTo x="0" y="21093"/>
                <wp:lineTo x="21533" y="21093"/>
                <wp:lineTo x="21533" y="0"/>
                <wp:lineTo x="0" y="0"/>
              </wp:wrapPolygon>
            </wp:wrapTight>
            <wp:docPr id="5" name="תמונה 5" descr="site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te strip"/>
                    <pic:cNvPicPr>
                      <a:picLocks noChangeAspect="1" noChangeArrowheads="1"/>
                    </pic:cNvPicPr>
                  </pic:nvPicPr>
                  <pic:blipFill>
                    <a:blip r:embed="rId10">
                      <a:lum bright="6000" contrast="12000"/>
                      <a:extLst>
                        <a:ext uri="{28A0092B-C50C-407E-A947-70E740481C1C}">
                          <a14:useLocalDpi xmlns:a14="http://schemas.microsoft.com/office/drawing/2010/main" val="0"/>
                        </a:ext>
                      </a:extLst>
                    </a:blip>
                    <a:srcRect/>
                    <a:stretch>
                      <a:fillRect/>
                    </a:stretch>
                  </pic:blipFill>
                  <pic:spPr bwMode="auto">
                    <a:xfrm>
                      <a:off x="0" y="0"/>
                      <a:ext cx="6172200"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BB4B32">
        <w:rPr>
          <w:noProof/>
        </w:rPr>
        <w:drawing>
          <wp:anchor distT="0" distB="0" distL="114300" distR="114300" simplePos="0" relativeHeight="251661312" behindDoc="1" locked="0" layoutInCell="1" allowOverlap="1" wp14:anchorId="44DC8C1B" wp14:editId="5BF7C29F">
            <wp:simplePos x="0" y="0"/>
            <wp:positionH relativeFrom="column">
              <wp:posOffset>3086100</wp:posOffset>
            </wp:positionH>
            <wp:positionV relativeFrom="paragraph">
              <wp:posOffset>-584835</wp:posOffset>
            </wp:positionV>
            <wp:extent cx="2764155" cy="818515"/>
            <wp:effectExtent l="0" t="0" r="0" b="0"/>
            <wp:wrapNone/>
            <wp:docPr id="6" name="תמונה 6" descr="http://images.webydo.com/12/123940/3958/%D7%9C%D7%95%D7%92%D7%95-%D7%A0%D7%92%D7%98%D7%99%D7%91.png?v=4462410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webydo.com/12/123940/3958/%D7%9C%D7%95%D7%92%D7%95-%D7%A0%D7%92%D7%98%D7%99%D7%91.png?v=44624101212"/>
                    <pic:cNvPicPr>
                      <a:picLocks noChangeAspect="1" noChangeArrowheads="1"/>
                    </pic:cNvPicPr>
                  </pic:nvPicPr>
                  <pic:blipFill>
                    <a:blip r:embed="rId11" r:link="rId12">
                      <a:lum bright="24000" contrast="6000"/>
                      <a:extLst>
                        <a:ext uri="{28A0092B-C50C-407E-A947-70E740481C1C}">
                          <a14:useLocalDpi xmlns:a14="http://schemas.microsoft.com/office/drawing/2010/main" val="0"/>
                        </a:ext>
                      </a:extLst>
                    </a:blip>
                    <a:srcRect/>
                    <a:stretch>
                      <a:fillRect/>
                    </a:stretch>
                  </pic:blipFill>
                  <pic:spPr bwMode="auto">
                    <a:xfrm>
                      <a:off x="0" y="0"/>
                      <a:ext cx="2764155"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622BB" w:rsidRPr="00CD13D1">
        <w:rPr>
          <w:rFonts w:hint="cs"/>
          <w:b/>
          <w:bCs/>
          <w:szCs w:val="28"/>
          <w:rtl/>
        </w:rPr>
        <w:t xml:space="preserve">                                                                                          </w:t>
      </w:r>
    </w:p>
    <w:p w:rsidR="008D1F4D" w:rsidRDefault="008D1F4D" w:rsidP="005B29F9">
      <w:pPr>
        <w:spacing w:line="276" w:lineRule="auto"/>
        <w:ind w:left="-284" w:right="-569" w:firstLine="284"/>
        <w:jc w:val="center"/>
        <w:rPr>
          <w:sz w:val="30"/>
          <w:szCs w:val="30"/>
          <w14:shadow w14:blurRad="50800" w14:dist="38100" w14:dir="2700000" w14:sx="100000" w14:sy="100000" w14:kx="0" w14:ky="0" w14:algn="tl">
            <w14:srgbClr w14:val="000000">
              <w14:alpha w14:val="60000"/>
            </w14:srgbClr>
          </w14:shadow>
        </w:rPr>
      </w:pPr>
    </w:p>
    <w:p w:rsidR="00453CD6" w:rsidRPr="00E342BB" w:rsidRDefault="00453CD6" w:rsidP="005B29F9">
      <w:pPr>
        <w:spacing w:line="276" w:lineRule="auto"/>
        <w:ind w:left="-284" w:right="-569" w:firstLine="284"/>
        <w:jc w:val="center"/>
        <w:rPr>
          <w:sz w:val="30"/>
          <w:szCs w:val="30"/>
          <w14:shadow w14:blurRad="50800" w14:dist="38100" w14:dir="2700000" w14:sx="100000" w14:sy="100000" w14:kx="0" w14:ky="0" w14:algn="tl">
            <w14:srgbClr w14:val="000000">
              <w14:alpha w14:val="60000"/>
            </w14:srgbClr>
          </w14:shadow>
        </w:rPr>
      </w:pPr>
      <w:r w:rsidRPr="00E342BB">
        <w:rPr>
          <w:sz w:val="30"/>
          <w:szCs w:val="30"/>
          <w:rtl/>
          <w14:shadow w14:blurRad="50800" w14:dist="38100" w14:dir="2700000" w14:sx="100000" w14:sy="100000" w14:kx="0" w14:ky="0" w14:algn="tl">
            <w14:srgbClr w14:val="000000">
              <w14:alpha w14:val="60000"/>
            </w14:srgbClr>
          </w14:shadow>
        </w:rPr>
        <w:t>לכל לקוחותינו וידידנו  ולכל הגולשים</w:t>
      </w:r>
      <w:r w:rsidR="005B29F9" w:rsidRPr="00E342BB">
        <w:rPr>
          <w:rFonts w:hint="cs"/>
          <w:sz w:val="30"/>
          <w:szCs w:val="30"/>
          <w:rtl/>
          <w14:shadow w14:blurRad="50800" w14:dist="38100" w14:dir="2700000" w14:sx="100000" w14:sy="100000" w14:kx="0" w14:ky="0" w14:algn="tl">
            <w14:srgbClr w14:val="000000">
              <w14:alpha w14:val="60000"/>
            </w14:srgbClr>
          </w14:shadow>
        </w:rPr>
        <w:t xml:space="preserve"> </w:t>
      </w:r>
      <w:r w:rsidRPr="00E342BB">
        <w:rPr>
          <w:sz w:val="30"/>
          <w:szCs w:val="30"/>
          <w:rtl/>
          <w14:shadow w14:blurRad="50800" w14:dist="38100" w14:dir="2700000" w14:sx="100000" w14:sy="100000" w14:kx="0" w14:ky="0" w14:algn="tl">
            <w14:srgbClr w14:val="000000">
              <w14:alpha w14:val="60000"/>
            </w14:srgbClr>
          </w14:shadow>
        </w:rPr>
        <w:t>והמנויים באתר המשרד שלום רב</w:t>
      </w:r>
    </w:p>
    <w:p w:rsidR="00453CD6" w:rsidRPr="00E342BB" w:rsidRDefault="00453CD6" w:rsidP="005B29F9">
      <w:pPr>
        <w:spacing w:line="276" w:lineRule="auto"/>
        <w:jc w:val="center"/>
        <w:rPr>
          <w:sz w:val="30"/>
          <w:szCs w:val="30"/>
          <w14:shadow w14:blurRad="50800" w14:dist="38100" w14:dir="2700000" w14:sx="100000" w14:sy="100000" w14:kx="0" w14:ky="0" w14:algn="tl">
            <w14:srgbClr w14:val="000000">
              <w14:alpha w14:val="60000"/>
            </w14:srgbClr>
          </w14:shadow>
        </w:rPr>
      </w:pPr>
      <w:r w:rsidRPr="00E342BB">
        <w:rPr>
          <w:sz w:val="30"/>
          <w:szCs w:val="30"/>
          <w:rtl/>
          <w14:shadow w14:blurRad="50800" w14:dist="38100" w14:dir="2700000" w14:sx="100000" w14:sy="100000" w14:kx="0" w14:ky="0" w14:algn="tl">
            <w14:srgbClr w14:val="000000">
              <w14:alpha w14:val="60000"/>
            </w14:srgbClr>
          </w14:shadow>
        </w:rPr>
        <w:t xml:space="preserve">לקראת חג החירות ולרגל יום העצמאות </w:t>
      </w:r>
    </w:p>
    <w:p w:rsidR="00453CD6" w:rsidRPr="00E342BB" w:rsidRDefault="00453CD6" w:rsidP="005B29F9">
      <w:pPr>
        <w:spacing w:line="276" w:lineRule="auto"/>
        <w:jc w:val="center"/>
        <w:rPr>
          <w:sz w:val="30"/>
          <w:szCs w:val="30"/>
          <w14:shadow w14:blurRad="50800" w14:dist="38100" w14:dir="2700000" w14:sx="100000" w14:sy="100000" w14:kx="0" w14:ky="0" w14:algn="tl">
            <w14:srgbClr w14:val="000000">
              <w14:alpha w14:val="60000"/>
            </w14:srgbClr>
          </w14:shadow>
        </w:rPr>
      </w:pPr>
      <w:r w:rsidRPr="00E342BB">
        <w:rPr>
          <w:sz w:val="30"/>
          <w:szCs w:val="30"/>
          <w:rtl/>
          <w14:shadow w14:blurRad="50800" w14:dist="38100" w14:dir="2700000" w14:sx="100000" w14:sy="100000" w14:kx="0" w14:ky="0" w14:algn="tl">
            <w14:srgbClr w14:val="000000">
              <w14:alpha w14:val="60000"/>
            </w14:srgbClr>
          </w14:shadow>
        </w:rPr>
        <w:t xml:space="preserve">אנו ממשיכים במסורת ומשגרים לכם את החוברת: </w:t>
      </w:r>
    </w:p>
    <w:p w:rsidR="00453CD6" w:rsidRPr="00461057" w:rsidRDefault="00453CD6" w:rsidP="00C622BB">
      <w:pPr>
        <w:spacing w:line="240" w:lineRule="exact"/>
        <w:jc w:val="center"/>
        <w:rPr>
          <w:sz w:val="80"/>
          <w:szCs w:val="80"/>
          <w:rtl/>
        </w:rPr>
      </w:pPr>
    </w:p>
    <w:p w:rsidR="00453CD6" w:rsidRPr="001974A6" w:rsidRDefault="00453CD6" w:rsidP="005B29F9">
      <w:pPr>
        <w:jc w:val="center"/>
        <w:rPr>
          <w:b/>
          <w:bCs/>
          <w:color w:val="0000FF"/>
          <w:sz w:val="110"/>
          <w:szCs w:val="110"/>
          <w14:shadow w14:blurRad="50800" w14:dist="38100" w14:dir="2700000" w14:sx="100000" w14:sy="100000" w14:kx="0" w14:ky="0" w14:algn="tl">
            <w14:srgbClr w14:val="000000">
              <w14:alpha w14:val="60000"/>
            </w14:srgbClr>
          </w14:shadow>
        </w:rPr>
      </w:pPr>
      <w:r w:rsidRPr="001974A6">
        <w:rPr>
          <w:b/>
          <w:bCs/>
          <w:color w:val="0000FF"/>
          <w:sz w:val="110"/>
          <w:szCs w:val="110"/>
          <w:rtl/>
          <w14:shadow w14:blurRad="50800" w14:dist="38100" w14:dir="2700000" w14:sx="100000" w14:sy="100000" w14:kx="0" w14:ky="0" w14:algn="tl">
            <w14:srgbClr w14:val="000000">
              <w14:alpha w14:val="60000"/>
            </w14:srgbClr>
          </w14:shadow>
        </w:rPr>
        <w:t>עובד ומעביד 22</w:t>
      </w:r>
    </w:p>
    <w:p w:rsidR="00453CD6" w:rsidRPr="00E342BB" w:rsidRDefault="00453CD6" w:rsidP="005B29F9">
      <w:pPr>
        <w:spacing w:line="276" w:lineRule="auto"/>
        <w:jc w:val="center"/>
        <w:rPr>
          <w:sz w:val="30"/>
          <w:szCs w:val="30"/>
          <w:rtl/>
        </w:rPr>
      </w:pPr>
      <w:r w:rsidRPr="00E342BB">
        <w:rPr>
          <w:sz w:val="30"/>
          <w:szCs w:val="30"/>
          <w:rtl/>
        </w:rPr>
        <w:t xml:space="preserve">ובה סקירת החידושים בפסיקה ובחקיקה בתחום </w:t>
      </w:r>
    </w:p>
    <w:p w:rsidR="00453CD6" w:rsidRPr="00E342BB" w:rsidRDefault="00453CD6" w:rsidP="005B29F9">
      <w:pPr>
        <w:spacing w:line="276" w:lineRule="auto"/>
        <w:jc w:val="center"/>
        <w:rPr>
          <w:sz w:val="30"/>
          <w:szCs w:val="30"/>
          <w:rtl/>
        </w:rPr>
      </w:pPr>
      <w:r w:rsidRPr="00E342BB">
        <w:rPr>
          <w:sz w:val="30"/>
          <w:szCs w:val="30"/>
          <w:rtl/>
        </w:rPr>
        <w:t xml:space="preserve">משפט העבודה האישי והקיבוצי בשנה החולפת. </w:t>
      </w:r>
    </w:p>
    <w:p w:rsidR="00453CD6" w:rsidRDefault="00453CD6" w:rsidP="00453CD6">
      <w:pPr>
        <w:jc w:val="center"/>
        <w:rPr>
          <w:sz w:val="48"/>
          <w:szCs w:val="48"/>
          <w:rtl/>
        </w:rPr>
      </w:pPr>
    </w:p>
    <w:p w:rsidR="00E342BB" w:rsidRDefault="00453CD6" w:rsidP="00E342BB">
      <w:pPr>
        <w:spacing w:line="276" w:lineRule="auto"/>
        <w:jc w:val="center"/>
        <w:rPr>
          <w:sz w:val="30"/>
          <w:szCs w:val="30"/>
          <w:rtl/>
        </w:rPr>
      </w:pPr>
      <w:r w:rsidRPr="00E342BB">
        <w:rPr>
          <w:sz w:val="30"/>
          <w:szCs w:val="30"/>
          <w:rtl/>
        </w:rPr>
        <w:t xml:space="preserve">כמו כן, אנו מצרפים השנה, לרגל יום העצמאות, מסמך היסטורי מרתק </w:t>
      </w:r>
    </w:p>
    <w:p w:rsidR="00E342BB" w:rsidRDefault="00453CD6" w:rsidP="00E342BB">
      <w:pPr>
        <w:spacing w:line="276" w:lineRule="auto"/>
        <w:jc w:val="center"/>
        <w:rPr>
          <w:sz w:val="30"/>
          <w:szCs w:val="30"/>
          <w:rtl/>
        </w:rPr>
      </w:pPr>
      <w:r w:rsidRPr="00E342BB">
        <w:rPr>
          <w:sz w:val="30"/>
          <w:szCs w:val="30"/>
          <w:rtl/>
        </w:rPr>
        <w:t>שניסח קיסר צרפת,</w:t>
      </w:r>
      <w:r w:rsidRPr="00E342BB">
        <w:rPr>
          <w:b/>
          <w:bCs/>
          <w:color w:val="0000FF"/>
          <w:sz w:val="30"/>
          <w:szCs w:val="30"/>
          <w:rtl/>
        </w:rPr>
        <w:t xml:space="preserve"> </w:t>
      </w:r>
      <w:r w:rsidRPr="00E342BB">
        <w:rPr>
          <w:b/>
          <w:bCs/>
          <w:color w:val="0000FF"/>
          <w:sz w:val="32"/>
          <w:szCs w:val="32"/>
          <w:rtl/>
        </w:rPr>
        <w:t>נפוליאון בונפארטה</w:t>
      </w:r>
      <w:r w:rsidRPr="00E342BB">
        <w:rPr>
          <w:b/>
          <w:bCs/>
          <w:sz w:val="30"/>
          <w:szCs w:val="30"/>
          <w:rtl/>
        </w:rPr>
        <w:t>,</w:t>
      </w:r>
      <w:r w:rsidRPr="00E342BB">
        <w:rPr>
          <w:sz w:val="30"/>
          <w:szCs w:val="30"/>
          <w:rtl/>
        </w:rPr>
        <w:t xml:space="preserve"> בעכו בשנת 1799:</w:t>
      </w:r>
    </w:p>
    <w:p w:rsidR="00453CD6" w:rsidRPr="00E342BB" w:rsidRDefault="00453CD6" w:rsidP="00E342BB">
      <w:pPr>
        <w:spacing w:line="276" w:lineRule="auto"/>
        <w:jc w:val="center"/>
        <w:rPr>
          <w:sz w:val="30"/>
          <w:szCs w:val="30"/>
          <w:rtl/>
        </w:rPr>
      </w:pPr>
      <w:r w:rsidRPr="00E342BB">
        <w:rPr>
          <w:sz w:val="30"/>
          <w:szCs w:val="30"/>
          <w:rtl/>
        </w:rPr>
        <w:t xml:space="preserve"> </w:t>
      </w:r>
    </w:p>
    <w:p w:rsidR="00453CD6" w:rsidRPr="001974A6" w:rsidRDefault="00453CD6" w:rsidP="001974A6">
      <w:pPr>
        <w:spacing w:after="240" w:line="360" w:lineRule="auto"/>
        <w:jc w:val="center"/>
        <w:rPr>
          <w:b/>
          <w:bCs/>
          <w:color w:val="0000FF"/>
          <w:sz w:val="56"/>
          <w:szCs w:val="56"/>
          <w:rtl/>
        </w:rPr>
      </w:pPr>
      <w:r w:rsidRPr="001974A6">
        <w:rPr>
          <w:b/>
          <w:bCs/>
          <w:color w:val="0000FF"/>
          <w:sz w:val="56"/>
          <w:szCs w:val="56"/>
          <w:rtl/>
        </w:rPr>
        <w:t>הצהרת העצמאות של מדינת היהודים</w:t>
      </w:r>
    </w:p>
    <w:p w:rsidR="00453CD6" w:rsidRDefault="00453CD6" w:rsidP="001974A6">
      <w:pPr>
        <w:spacing w:line="360" w:lineRule="auto"/>
        <w:jc w:val="center"/>
        <w:rPr>
          <w:rFonts w:cs="Narkisim"/>
          <w:b/>
          <w:bCs/>
          <w:sz w:val="36"/>
          <w:szCs w:val="36"/>
        </w:rPr>
      </w:pPr>
      <w:r w:rsidRPr="001974A6">
        <w:rPr>
          <w:rFonts w:cs="Narkisim"/>
          <w:b/>
          <w:bCs/>
          <w:sz w:val="36"/>
          <w:szCs w:val="36"/>
          <w:rtl/>
        </w:rPr>
        <w:t>חג עצמאות שמח מצוות המשרד</w:t>
      </w:r>
    </w:p>
    <w:p w:rsidR="009F6B85" w:rsidRDefault="009F6B85" w:rsidP="009F6B85">
      <w:pPr>
        <w:jc w:val="center"/>
        <w:rPr>
          <w:rFonts w:cs="Narkisim"/>
          <w:b/>
          <w:bCs/>
          <w:color w:val="0000FF"/>
          <w:sz w:val="32"/>
          <w:szCs w:val="32"/>
          <w:rtl/>
        </w:rPr>
      </w:pPr>
    </w:p>
    <w:p w:rsidR="00453CD6" w:rsidRPr="00104F16" w:rsidRDefault="00453CD6" w:rsidP="00453CD6">
      <w:pPr>
        <w:spacing w:line="360" w:lineRule="auto"/>
        <w:jc w:val="center"/>
        <w:rPr>
          <w:rFonts w:cs="Narkisim"/>
          <w:b/>
          <w:bCs/>
          <w:color w:val="0000FF"/>
          <w:sz w:val="32"/>
          <w:szCs w:val="32"/>
        </w:rPr>
      </w:pPr>
      <w:r w:rsidRPr="00104F16">
        <w:rPr>
          <w:rFonts w:cs="Narkisim"/>
          <w:b/>
          <w:bCs/>
          <w:color w:val="0000FF"/>
          <w:sz w:val="32"/>
          <w:szCs w:val="32"/>
          <w:rtl/>
        </w:rPr>
        <w:t>חיים ברנזון, אסף ברנזון</w:t>
      </w:r>
    </w:p>
    <w:p w:rsidR="00453CD6" w:rsidRPr="00104F16" w:rsidRDefault="00453CD6" w:rsidP="005804EC">
      <w:pPr>
        <w:spacing w:line="360" w:lineRule="auto"/>
        <w:jc w:val="center"/>
        <w:rPr>
          <w:rFonts w:cs="Narkisim"/>
          <w:b/>
          <w:bCs/>
          <w:color w:val="0000FF"/>
          <w:sz w:val="32"/>
          <w:szCs w:val="32"/>
          <w:rtl/>
        </w:rPr>
      </w:pPr>
      <w:r w:rsidRPr="00104F16">
        <w:rPr>
          <w:rFonts w:cs="Narkisim"/>
          <w:b/>
          <w:bCs/>
          <w:color w:val="0000FF"/>
          <w:sz w:val="32"/>
          <w:szCs w:val="32"/>
          <w:rtl/>
        </w:rPr>
        <w:t>מיכל ז'ילוני-חדד, בטי אמיר, מיכל פרידמן, נעמי לאופר-בן ארי</w:t>
      </w:r>
    </w:p>
    <w:p w:rsidR="005804EC" w:rsidRDefault="00933E5D" w:rsidP="009F6B85">
      <w:pPr>
        <w:tabs>
          <w:tab w:val="left" w:pos="90"/>
          <w:tab w:val="left" w:pos="392"/>
        </w:tabs>
        <w:ind w:left="-118" w:right="-180"/>
        <w:jc w:val="center"/>
        <w:rPr>
          <w:rFonts w:ascii="Tahoma" w:hAnsi="Tahoma" w:cs="Tahoma"/>
          <w:b/>
          <w:bCs/>
          <w:sz w:val="36"/>
          <w:szCs w:val="36"/>
          <w:rtl/>
        </w:rPr>
        <w:sectPr w:rsidR="005804EC" w:rsidSect="00B45B66">
          <w:headerReference w:type="default" r:id="rId13"/>
          <w:footerReference w:type="even" r:id="rId14"/>
          <w:footerReference w:type="default" r:id="rId15"/>
          <w:pgSz w:w="11906" w:h="16838"/>
          <w:pgMar w:top="1871" w:right="1701" w:bottom="1985" w:left="1418"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titlePg/>
          <w:bidi/>
          <w:rtlGutter/>
          <w:docGrid w:linePitch="360"/>
        </w:sectPr>
      </w:pPr>
      <w:r w:rsidRPr="0070250D">
        <w:rPr>
          <w:noProof/>
          <w:spacing w:val="-5"/>
          <w:rtl/>
        </w:rPr>
        <mc:AlternateContent>
          <mc:Choice Requires="wps">
            <w:drawing>
              <wp:anchor distT="0" distB="0" distL="114300" distR="114300" simplePos="0" relativeHeight="251673600" behindDoc="1" locked="0" layoutInCell="1" allowOverlap="1" wp14:anchorId="72F22EE5" wp14:editId="4FFDF51C">
                <wp:simplePos x="0" y="0"/>
                <wp:positionH relativeFrom="column">
                  <wp:posOffset>-313055</wp:posOffset>
                </wp:positionH>
                <wp:positionV relativeFrom="paragraph">
                  <wp:posOffset>1793240</wp:posOffset>
                </wp:positionV>
                <wp:extent cx="6325870" cy="1403985"/>
                <wp:effectExtent l="0" t="0" r="0" b="5080"/>
                <wp:wrapTight wrapText="bothSides">
                  <wp:wrapPolygon edited="0">
                    <wp:start x="0" y="0"/>
                    <wp:lineTo x="0" y="20447"/>
                    <wp:lineTo x="21531" y="20447"/>
                    <wp:lineTo x="21531" y="0"/>
                    <wp:lineTo x="0" y="0"/>
                  </wp:wrapPolygon>
                </wp:wrapTight>
                <wp:docPr id="1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25870" cy="1403985"/>
                        </a:xfrm>
                        <a:prstGeom prst="rect">
                          <a:avLst/>
                        </a:prstGeom>
                        <a:solidFill>
                          <a:srgbClr val="FFFFFF"/>
                        </a:solidFill>
                        <a:ln w="9525">
                          <a:noFill/>
                          <a:miter lim="800000"/>
                          <a:headEnd/>
                          <a:tailEnd/>
                        </a:ln>
                      </wps:spPr>
                      <wps:txbx>
                        <w:txbxContent>
                          <w:p w:rsidR="00F46847" w:rsidRDefault="00F46847" w:rsidP="00E342BB">
                            <w:pPr>
                              <w:bidi/>
                              <w:jc w:val="center"/>
                            </w:pPr>
                            <w:r w:rsidRPr="00C956D0">
                              <w:rPr>
                                <w:rFonts w:cs="Hayim"/>
                                <w:spacing w:val="-5"/>
                                <w:sz w:val="24"/>
                                <w:rtl/>
                              </w:rPr>
                              <w:t>חיים ברנזון,</w:t>
                            </w:r>
                            <w:r w:rsidRPr="002D32EA">
                              <w:rPr>
                                <w:rFonts w:cs="Hayim"/>
                                <w:spacing w:val="-5"/>
                                <w:sz w:val="24"/>
                                <w:rtl/>
                              </w:rPr>
                              <w:t xml:space="preserve"> </w:t>
                            </w:r>
                            <w:r w:rsidRPr="00C956D0">
                              <w:rPr>
                                <w:rFonts w:cs="Hayim"/>
                                <w:spacing w:val="-5"/>
                                <w:sz w:val="24"/>
                                <w:rtl/>
                              </w:rPr>
                              <w:t>משרד עורכי דין, חבצלת השרון 60, הרצליה פיתוח 46747</w:t>
                            </w:r>
                            <w:r w:rsidRPr="000D79FD">
                              <w:rPr>
                                <w:rFonts w:cs="Hayim" w:hint="cs"/>
                                <w:spacing w:val="-5"/>
                                <w:sz w:val="24"/>
                                <w:rtl/>
                              </w:rPr>
                              <w:t>20</w:t>
                            </w:r>
                            <w:r w:rsidRPr="002C4D58">
                              <w:rPr>
                                <w:rFonts w:cs="Hayim" w:hint="cs"/>
                                <w:spacing w:val="-5"/>
                                <w:sz w:val="24"/>
                                <w:rtl/>
                              </w:rPr>
                              <w:t>,</w:t>
                            </w:r>
                            <w:r w:rsidRPr="002D32EA">
                              <w:rPr>
                                <w:rFonts w:cs="Hayim" w:hint="cs"/>
                                <w:spacing w:val="-5"/>
                                <w:sz w:val="24"/>
                                <w:rtl/>
                              </w:rPr>
                              <w:t xml:space="preserve"> טל': 09-9568339, פקס: 09-9509129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4.65pt;margin-top:141.2pt;width:498.1pt;height:110.55pt;flip:x;z-index:-25164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" stroked="f">
                <v:textbox style="mso-fit-shape-to-text:t">
                  <w:txbxContent>
                    <w:p w:rsidR="0070250D" w:rsidRDefault="0070250D" w:rsidP="00E342BB">
                      <w:pPr>
                        <w:bidi/>
                        <w:jc w:val="center"/>
                      </w:pPr>
                      <w:r w:rsidRPr="00C956D0">
                        <w:rPr>
                          <w:rFonts w:cs="Hayim"/>
                          <w:spacing w:val="-5"/>
                          <w:sz w:val="24"/>
                          <w:rtl/>
                        </w:rPr>
                        <w:t xml:space="preserve">חיים </w:t>
                      </w:r>
                      <w:proofErr w:type="spellStart"/>
                      <w:r w:rsidRPr="00C956D0">
                        <w:rPr>
                          <w:rFonts w:cs="Hayim"/>
                          <w:spacing w:val="-5"/>
                          <w:sz w:val="24"/>
                          <w:rtl/>
                        </w:rPr>
                        <w:t>ברנזון</w:t>
                      </w:r>
                      <w:proofErr w:type="spellEnd"/>
                      <w:r w:rsidRPr="00C956D0">
                        <w:rPr>
                          <w:rFonts w:cs="Hayim"/>
                          <w:spacing w:val="-5"/>
                          <w:sz w:val="24"/>
                          <w:rtl/>
                        </w:rPr>
                        <w:t>,</w:t>
                      </w:r>
                      <w:r w:rsidRPr="002D32EA">
                        <w:rPr>
                          <w:rFonts w:cs="Hayim"/>
                          <w:spacing w:val="-5"/>
                          <w:sz w:val="24"/>
                          <w:rtl/>
                        </w:rPr>
                        <w:t xml:space="preserve"> </w:t>
                      </w:r>
                      <w:r w:rsidRPr="00C956D0">
                        <w:rPr>
                          <w:rFonts w:cs="Hayim"/>
                          <w:spacing w:val="-5"/>
                          <w:sz w:val="24"/>
                          <w:rtl/>
                        </w:rPr>
                        <w:t>משרד עורכי דין, חבצלת השרון 60, הרצליה פיתוח 46747</w:t>
                      </w:r>
                      <w:r w:rsidRPr="000D79FD">
                        <w:rPr>
                          <w:rFonts w:cs="Hayim" w:hint="cs"/>
                          <w:spacing w:val="-5"/>
                          <w:sz w:val="24"/>
                          <w:rtl/>
                        </w:rPr>
                        <w:t>20</w:t>
                      </w:r>
                      <w:r w:rsidRPr="002C4D58">
                        <w:rPr>
                          <w:rFonts w:cs="Hayim" w:hint="cs"/>
                          <w:spacing w:val="-5"/>
                          <w:sz w:val="24"/>
                          <w:rtl/>
                        </w:rPr>
                        <w:t>,</w:t>
                      </w:r>
                      <w:r w:rsidRPr="002D32EA">
                        <w:rPr>
                          <w:rFonts w:cs="Hayim" w:hint="cs"/>
                          <w:spacing w:val="-5"/>
                          <w:sz w:val="24"/>
                          <w:rtl/>
                        </w:rPr>
                        <w:t xml:space="preserve"> טל': 09-9568339, פקס: 09-9509129</w:t>
                      </w:r>
                    </w:p>
                  </w:txbxContent>
                </v:textbox>
                <w10:wrap type="tight"/>
              </v:shape>
            </w:pict>
          </mc:Fallback>
        </mc:AlternateContent>
      </w:r>
      <w:r w:rsidRPr="0070250D">
        <w:rPr>
          <w:noProof/>
          <w:spacing w:val="-5"/>
          <w:rtl/>
        </w:rPr>
        <mc:AlternateContent>
          <mc:Choice Requires="wps">
            <w:drawing>
              <wp:anchor distT="0" distB="0" distL="114300" distR="114300" simplePos="0" relativeHeight="251671552" behindDoc="1" locked="0" layoutInCell="1" allowOverlap="1" wp14:anchorId="5CB11EFE" wp14:editId="11FEDEBA">
                <wp:simplePos x="0" y="0"/>
                <wp:positionH relativeFrom="column">
                  <wp:posOffset>-287020</wp:posOffset>
                </wp:positionH>
                <wp:positionV relativeFrom="paragraph">
                  <wp:posOffset>1416685</wp:posOffset>
                </wp:positionV>
                <wp:extent cx="6140450" cy="329565"/>
                <wp:effectExtent l="0" t="0" r="12700" b="13335"/>
                <wp:wrapTight wrapText="bothSides">
                  <wp:wrapPolygon edited="0">
                    <wp:start x="0" y="0"/>
                    <wp:lineTo x="0" y="21225"/>
                    <wp:lineTo x="21578" y="21225"/>
                    <wp:lineTo x="21578" y="0"/>
                    <wp:lineTo x="0" y="0"/>
                  </wp:wrapPolygon>
                </wp:wrapTight>
                <wp:docPr id="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40450" cy="329565"/>
                        </a:xfrm>
                        <a:prstGeom prst="rect">
                          <a:avLst/>
                        </a:prstGeom>
                        <a:solidFill>
                          <a:schemeClr val="tx1">
                            <a:lumMod val="50000"/>
                            <a:lumOff val="50000"/>
                          </a:schemeClr>
                        </a:solidFill>
                        <a:ln w="9525">
                          <a:solidFill>
                            <a:srgbClr val="000000"/>
                          </a:solidFill>
                          <a:miter lim="800000"/>
                          <a:headEnd/>
                          <a:tailEnd/>
                        </a:ln>
                      </wps:spPr>
                      <wps:txbx>
                        <w:txbxContent>
                          <w:p w:rsidR="00F46847" w:rsidRPr="00D8093F" w:rsidRDefault="00F46847" w:rsidP="0070250D">
                            <w:pPr>
                              <w:pBdr>
                                <w:top w:val="single" w:sz="4" w:space="2" w:color="333333"/>
                                <w:left w:val="single" w:sz="4" w:space="0" w:color="333333"/>
                                <w:bottom w:val="single" w:sz="4" w:space="0" w:color="333333"/>
                                <w:right w:val="single" w:sz="4" w:space="0" w:color="333333"/>
                              </w:pBdr>
                              <w:shd w:val="clear" w:color="auto" w:fill="999999"/>
                              <w:tabs>
                                <w:tab w:val="left" w:pos="1416"/>
                                <w:tab w:val="right" w:pos="10205"/>
                              </w:tabs>
                              <w:ind w:right="-180" w:hanging="687"/>
                              <w:jc w:val="center"/>
                              <w:outlineLvl w:val="0"/>
                              <w:rPr>
                                <w:b/>
                                <w:bCs/>
                                <w:color w:val="FFFFFF" w:themeColor="background1"/>
                                <w:szCs w:val="28"/>
                              </w:rPr>
                            </w:pPr>
                            <w:r>
                              <w:rPr>
                                <w:b/>
                                <w:bCs/>
                                <w:color w:val="FFFFFF" w:themeColor="background1"/>
                                <w:sz w:val="28"/>
                                <w:szCs w:val="28"/>
                              </w:rPr>
                              <w:t xml:space="preserve">      </w:t>
                            </w:r>
                            <w:hyperlink r:id="rId16" w:history="1">
                              <w:r w:rsidRPr="00D8093F">
                                <w:rPr>
                                  <w:rStyle w:val="Hyperlink"/>
                                  <w:b/>
                                  <w:bCs/>
                                  <w:color w:val="FFFFFF" w:themeColor="background1"/>
                                  <w:sz w:val="28"/>
                                  <w:szCs w:val="28"/>
                                </w:rPr>
                                <w:t>www.berenzon-law.co.il</w:t>
                              </w:r>
                            </w:hyperlink>
                            <w:r w:rsidRPr="00D8093F">
                              <w:rPr>
                                <w:b/>
                                <w:bCs/>
                                <w:color w:val="FFFFFF" w:themeColor="background1"/>
                                <w:szCs w:val="28"/>
                              </w:rPr>
                              <w:t xml:space="preserve"> </w:t>
                            </w:r>
                            <w:r>
                              <w:rPr>
                                <w:rFonts w:hint="cs"/>
                                <w:b/>
                                <w:bCs/>
                                <w:color w:val="FFFFFF" w:themeColor="background1"/>
                                <w:szCs w:val="28"/>
                                <w:rtl/>
                              </w:rPr>
                              <w:t>לצפייה באתר ברנזון החדש ו</w:t>
                            </w:r>
                            <w:r w:rsidRPr="00D8093F">
                              <w:rPr>
                                <w:rFonts w:hint="cs"/>
                                <w:b/>
                                <w:bCs/>
                                <w:color w:val="FFFFFF" w:themeColor="background1"/>
                                <w:szCs w:val="28"/>
                                <w:rtl/>
                              </w:rPr>
                              <w:t>לקבלת דיוורים</w:t>
                            </w:r>
                            <w:r>
                              <w:rPr>
                                <w:rFonts w:hint="cs"/>
                                <w:b/>
                                <w:bCs/>
                                <w:color w:val="FFFFFF" w:themeColor="background1"/>
                                <w:szCs w:val="28"/>
                                <w:rtl/>
                              </w:rPr>
                              <w:t xml:space="preserve"> חינם</w:t>
                            </w:r>
                            <w:r w:rsidRPr="00D8093F">
                              <w:rPr>
                                <w:rFonts w:hint="cs"/>
                                <w:b/>
                                <w:bCs/>
                                <w:color w:val="FFFFFF" w:themeColor="background1"/>
                                <w:szCs w:val="28"/>
                                <w:rtl/>
                              </w:rPr>
                              <w:t xml:space="preserve"> -</w:t>
                            </w:r>
                          </w:p>
                          <w:p w:rsidR="00F46847" w:rsidRPr="0070250D" w:rsidRDefault="00F46847" w:rsidP="0070250D">
                            <w:pPr>
                              <w:bidi/>
                              <w:jc w:val="cente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2.6pt;margin-top:111.55pt;width:483.5pt;height:25.95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" fillcolor="gray [1629]">
                <v:textbox>
                  <w:txbxContent>
                    <w:p w:rsidR="0070250D" w:rsidRPr="00D8093F" w:rsidRDefault="00FE36CE" w:rsidP="0070250D">
                      <w:pPr>
                        <w:pBdr>
                          <w:top w:val="single" w:sz="4" w:space="2" w:color="333333"/>
                          <w:left w:val="single" w:sz="4" w:space="0" w:color="333333"/>
                          <w:bottom w:val="single" w:sz="4" w:space="0" w:color="333333"/>
                          <w:right w:val="single" w:sz="4" w:space="0" w:color="333333"/>
                        </w:pBdr>
                        <w:shd w:val="clear" w:color="auto" w:fill="999999"/>
                        <w:tabs>
                          <w:tab w:val="left" w:pos="1416"/>
                          <w:tab w:val="right" w:pos="10205"/>
                        </w:tabs>
                        <w:ind w:right="-180" w:hanging="687"/>
                        <w:jc w:val="center"/>
                        <w:outlineLvl w:val="0"/>
                        <w:rPr>
                          <w:b/>
                          <w:bCs/>
                          <w:color w:val="FFFFFF" w:themeColor="background1"/>
                          <w:szCs w:val="28"/>
                        </w:rPr>
                      </w:pPr>
                      <w:r>
                        <w:rPr>
                          <w:b/>
                          <w:bCs/>
                          <w:color w:val="FFFFFF" w:themeColor="background1"/>
                          <w:sz w:val="28"/>
                          <w:szCs w:val="28"/>
                        </w:rPr>
                        <w:t xml:space="preserve">      </w:t>
                      </w:r>
                      <w:hyperlink r:id="rId17" w:history="1">
                        <w:r w:rsidR="0070250D" w:rsidRPr="00D8093F">
                          <w:rPr>
                            <w:rStyle w:val="Hyperlink"/>
                            <w:b/>
                            <w:bCs/>
                            <w:color w:val="FFFFFF" w:themeColor="background1"/>
                            <w:sz w:val="28"/>
                            <w:szCs w:val="28"/>
                          </w:rPr>
                          <w:t>www.berenzon-law.co.il</w:t>
                        </w:r>
                      </w:hyperlink>
                      <w:r w:rsidR="0070250D" w:rsidRPr="00D8093F">
                        <w:rPr>
                          <w:b/>
                          <w:bCs/>
                          <w:color w:val="FFFFFF" w:themeColor="background1"/>
                          <w:szCs w:val="28"/>
                        </w:rPr>
                        <w:t xml:space="preserve"> </w:t>
                      </w:r>
                      <w:r w:rsidR="00E342BB">
                        <w:rPr>
                          <w:rFonts w:hint="cs"/>
                          <w:b/>
                          <w:bCs/>
                          <w:color w:val="FFFFFF" w:themeColor="background1"/>
                          <w:szCs w:val="28"/>
                          <w:rtl/>
                        </w:rPr>
                        <w:t xml:space="preserve">לצפייה באתר </w:t>
                      </w:r>
                      <w:proofErr w:type="spellStart"/>
                      <w:r w:rsidR="00E342BB">
                        <w:rPr>
                          <w:rFonts w:hint="cs"/>
                          <w:b/>
                          <w:bCs/>
                          <w:color w:val="FFFFFF" w:themeColor="background1"/>
                          <w:szCs w:val="28"/>
                          <w:rtl/>
                        </w:rPr>
                        <w:t>ברנזון</w:t>
                      </w:r>
                      <w:proofErr w:type="spellEnd"/>
                      <w:r w:rsidR="00E342BB">
                        <w:rPr>
                          <w:rFonts w:hint="cs"/>
                          <w:b/>
                          <w:bCs/>
                          <w:color w:val="FFFFFF" w:themeColor="background1"/>
                          <w:szCs w:val="28"/>
                          <w:rtl/>
                        </w:rPr>
                        <w:t xml:space="preserve"> החדש ו</w:t>
                      </w:r>
                      <w:r w:rsidR="0070250D" w:rsidRPr="00D8093F">
                        <w:rPr>
                          <w:rFonts w:hint="cs"/>
                          <w:b/>
                          <w:bCs/>
                          <w:color w:val="FFFFFF" w:themeColor="background1"/>
                          <w:szCs w:val="28"/>
                          <w:rtl/>
                        </w:rPr>
                        <w:t xml:space="preserve">לקבלת </w:t>
                      </w:r>
                      <w:proofErr w:type="spellStart"/>
                      <w:r w:rsidR="0070250D" w:rsidRPr="00D8093F">
                        <w:rPr>
                          <w:rFonts w:hint="cs"/>
                          <w:b/>
                          <w:bCs/>
                          <w:color w:val="FFFFFF" w:themeColor="background1"/>
                          <w:szCs w:val="28"/>
                          <w:rtl/>
                        </w:rPr>
                        <w:t>דיוורים</w:t>
                      </w:r>
                      <w:proofErr w:type="spellEnd"/>
                      <w:r w:rsidR="00E342BB">
                        <w:rPr>
                          <w:rFonts w:hint="cs"/>
                          <w:b/>
                          <w:bCs/>
                          <w:color w:val="FFFFFF" w:themeColor="background1"/>
                          <w:szCs w:val="28"/>
                          <w:rtl/>
                        </w:rPr>
                        <w:t xml:space="preserve"> חינם</w:t>
                      </w:r>
                      <w:r w:rsidR="0070250D" w:rsidRPr="00D8093F">
                        <w:rPr>
                          <w:rFonts w:hint="cs"/>
                          <w:b/>
                          <w:bCs/>
                          <w:color w:val="FFFFFF" w:themeColor="background1"/>
                          <w:szCs w:val="28"/>
                          <w:rtl/>
                        </w:rPr>
                        <w:t xml:space="preserve"> -</w:t>
                      </w:r>
                    </w:p>
                    <w:p w:rsidR="0070250D" w:rsidRPr="0070250D" w:rsidRDefault="0070250D" w:rsidP="0070250D">
                      <w:pPr>
                        <w:bidi/>
                        <w:jc w:val="center"/>
                        <w:rPr>
                          <w:rFonts w:hint="cs"/>
                          <w:rtl/>
                          <w:cs/>
                        </w:rPr>
                      </w:pPr>
                    </w:p>
                  </w:txbxContent>
                </v:textbox>
                <w10:wrap type="tight"/>
              </v:shape>
            </w:pict>
          </mc:Fallback>
        </mc:AlternateContent>
      </w:r>
      <w:r w:rsidRPr="0070250D">
        <w:rPr>
          <w:noProof/>
          <w:spacing w:val="-5"/>
          <w:rtl/>
        </w:rPr>
        <mc:AlternateContent>
          <mc:Choice Requires="wps">
            <w:drawing>
              <wp:anchor distT="0" distB="0" distL="114300" distR="114300" simplePos="0" relativeHeight="251669504" behindDoc="0" locked="0" layoutInCell="1" allowOverlap="1" wp14:anchorId="79B340FC" wp14:editId="6CD10552">
                <wp:simplePos x="0" y="0"/>
                <wp:positionH relativeFrom="column">
                  <wp:posOffset>-244788</wp:posOffset>
                </wp:positionH>
                <wp:positionV relativeFrom="paragraph">
                  <wp:posOffset>161290</wp:posOffset>
                </wp:positionV>
                <wp:extent cx="6086902" cy="329565"/>
                <wp:effectExtent l="0" t="0" r="28575" b="13335"/>
                <wp:wrapNone/>
                <wp:docPr id="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86902" cy="329565"/>
                        </a:xfrm>
                        <a:prstGeom prst="rect">
                          <a:avLst/>
                        </a:prstGeom>
                        <a:solidFill>
                          <a:schemeClr val="tx1">
                            <a:lumMod val="50000"/>
                            <a:lumOff val="50000"/>
                          </a:schemeClr>
                        </a:solidFill>
                        <a:ln w="0" cap="sq" cmpd="sng">
                          <a:solidFill>
                            <a:srgbClr val="000000"/>
                          </a:solidFill>
                          <a:miter lim="800000"/>
                          <a:headEnd/>
                          <a:tailEnd/>
                        </a:ln>
                        <a:effectLst/>
                      </wps:spPr>
                      <wps:txbx>
                        <w:txbxContent>
                          <w:p w:rsidR="00F46847" w:rsidRPr="005804EC" w:rsidRDefault="00F46847" w:rsidP="0070250D">
                            <w:pPr>
                              <w:pBdr>
                                <w:top w:val="single" w:sz="4" w:space="2" w:color="333333"/>
                                <w:left w:val="single" w:sz="4" w:space="0" w:color="333333"/>
                                <w:bottom w:val="single" w:sz="4" w:space="0" w:color="333333"/>
                                <w:right w:val="single" w:sz="4" w:space="0" w:color="333333"/>
                              </w:pBdr>
                              <w:shd w:val="clear" w:color="auto" w:fill="8C8C8C"/>
                              <w:tabs>
                                <w:tab w:val="left" w:pos="1416"/>
                                <w:tab w:val="right" w:pos="10205"/>
                              </w:tabs>
                              <w:ind w:right="-180" w:hanging="687"/>
                              <w:jc w:val="center"/>
                              <w:outlineLvl w:val="0"/>
                              <w:rPr>
                                <w:b/>
                                <w:bCs/>
                                <w:color w:val="FFFFFF" w:themeColor="background1"/>
                                <w:szCs w:val="28"/>
                              </w:rPr>
                            </w:pPr>
                            <w:r>
                              <w:rPr>
                                <w:b/>
                                <w:bCs/>
                                <w:color w:val="FFFFFF" w:themeColor="background1"/>
                                <w:sz w:val="28"/>
                                <w:szCs w:val="28"/>
                              </w:rPr>
                              <w:t xml:space="preserve">      </w:t>
                            </w:r>
                            <w:hyperlink r:id="rId18" w:history="1">
                              <w:r w:rsidRPr="005804EC">
                                <w:rPr>
                                  <w:rStyle w:val="Hyperlink"/>
                                  <w:b/>
                                  <w:bCs/>
                                  <w:color w:val="FFFFFF" w:themeColor="background1"/>
                                  <w:sz w:val="28"/>
                                  <w:szCs w:val="28"/>
                                </w:rPr>
                                <w:t>www.court.gov.il</w:t>
                              </w:r>
                            </w:hyperlink>
                            <w:r w:rsidRPr="005804EC">
                              <w:rPr>
                                <w:b/>
                                <w:bCs/>
                                <w:color w:val="FFFFFF" w:themeColor="background1"/>
                                <w:sz w:val="28"/>
                                <w:szCs w:val="28"/>
                              </w:rPr>
                              <w:t xml:space="preserve"> </w:t>
                            </w:r>
                            <w:r w:rsidRPr="005804EC">
                              <w:rPr>
                                <w:rFonts w:hint="cs"/>
                                <w:b/>
                                <w:bCs/>
                                <w:color w:val="FFFFFF" w:themeColor="background1"/>
                                <w:sz w:val="28"/>
                                <w:szCs w:val="28"/>
                                <w:rtl/>
                              </w:rPr>
                              <w:t>או לאתר</w:t>
                            </w:r>
                            <w:r w:rsidRPr="005804EC">
                              <w:rPr>
                                <w:b/>
                                <w:bCs/>
                                <w:color w:val="FFFFFF" w:themeColor="background1"/>
                                <w:sz w:val="28"/>
                                <w:szCs w:val="28"/>
                              </w:rPr>
                              <w:t xml:space="preserve"> </w:t>
                            </w:r>
                            <w:hyperlink r:id="rId19" w:history="1">
                              <w:r w:rsidRPr="005804EC">
                                <w:rPr>
                                  <w:rStyle w:val="Hyperlink"/>
                                  <w:b/>
                                  <w:bCs/>
                                  <w:color w:val="FFFFFF" w:themeColor="background1"/>
                                  <w:sz w:val="28"/>
                                  <w:szCs w:val="28"/>
                                </w:rPr>
                                <w:t>www.nevo.co.il</w:t>
                              </w:r>
                            </w:hyperlink>
                            <w:r w:rsidRPr="005804EC">
                              <w:rPr>
                                <w:rFonts w:hint="cs"/>
                                <w:b/>
                                <w:bCs/>
                                <w:color w:val="FFFFFF" w:themeColor="background1"/>
                                <w:sz w:val="28"/>
                                <w:szCs w:val="28"/>
                                <w:rtl/>
                              </w:rPr>
                              <w:t xml:space="preserve"> לפסיקה המלאה ניתן לפנות לאתר </w:t>
                            </w:r>
                          </w:p>
                          <w:p w:rsidR="00F46847" w:rsidRDefault="00F46847" w:rsidP="0070250D">
                            <w:pPr>
                              <w:bidi/>
                              <w:jc w:val="cente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9.25pt;margin-top:12.7pt;width:479.3pt;height:25.9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" fillcolor="gray [1629]" strokeweight="0">
                <v:stroke endcap="square"/>
                <v:textbox>
                  <w:txbxContent>
                    <w:p w:rsidR="0070250D" w:rsidRPr="005804EC" w:rsidRDefault="00FE36CE" w:rsidP="0070250D">
                      <w:pPr>
                        <w:pBdr>
                          <w:top w:val="single" w:sz="4" w:space="2" w:color="333333"/>
                          <w:left w:val="single" w:sz="4" w:space="0" w:color="333333"/>
                          <w:bottom w:val="single" w:sz="4" w:space="0" w:color="333333"/>
                          <w:right w:val="single" w:sz="4" w:space="0" w:color="333333"/>
                        </w:pBdr>
                        <w:shd w:val="clear" w:color="auto" w:fill="8C8C8C"/>
                        <w:tabs>
                          <w:tab w:val="left" w:pos="1416"/>
                          <w:tab w:val="right" w:pos="10205"/>
                        </w:tabs>
                        <w:ind w:right="-180" w:hanging="687"/>
                        <w:jc w:val="center"/>
                        <w:outlineLvl w:val="0"/>
                        <w:rPr>
                          <w:b/>
                          <w:bCs/>
                          <w:color w:val="FFFFFF" w:themeColor="background1"/>
                          <w:szCs w:val="28"/>
                        </w:rPr>
                      </w:pPr>
                      <w:r>
                        <w:rPr>
                          <w:b/>
                          <w:bCs/>
                          <w:color w:val="FFFFFF" w:themeColor="background1"/>
                          <w:sz w:val="28"/>
                          <w:szCs w:val="28"/>
                        </w:rPr>
                        <w:t xml:space="preserve">      </w:t>
                      </w:r>
                      <w:hyperlink r:id="rId20" w:history="1">
                        <w:r w:rsidR="0070250D" w:rsidRPr="005804EC">
                          <w:rPr>
                            <w:rStyle w:val="Hyperlink"/>
                            <w:b/>
                            <w:bCs/>
                            <w:color w:val="FFFFFF" w:themeColor="background1"/>
                            <w:sz w:val="28"/>
                            <w:szCs w:val="28"/>
                          </w:rPr>
                          <w:t>www.court.gov.il</w:t>
                        </w:r>
                      </w:hyperlink>
                      <w:r w:rsidR="0070250D" w:rsidRPr="005804EC">
                        <w:rPr>
                          <w:b/>
                          <w:bCs/>
                          <w:color w:val="FFFFFF" w:themeColor="background1"/>
                          <w:sz w:val="28"/>
                          <w:szCs w:val="28"/>
                        </w:rPr>
                        <w:t xml:space="preserve"> </w:t>
                      </w:r>
                      <w:r w:rsidR="0070250D" w:rsidRPr="005804EC">
                        <w:rPr>
                          <w:rFonts w:hint="cs"/>
                          <w:b/>
                          <w:bCs/>
                          <w:color w:val="FFFFFF" w:themeColor="background1"/>
                          <w:sz w:val="28"/>
                          <w:szCs w:val="28"/>
                          <w:rtl/>
                        </w:rPr>
                        <w:t>או לאתר</w:t>
                      </w:r>
                      <w:r w:rsidR="0070250D" w:rsidRPr="005804EC">
                        <w:rPr>
                          <w:b/>
                          <w:bCs/>
                          <w:color w:val="FFFFFF" w:themeColor="background1"/>
                          <w:sz w:val="28"/>
                          <w:szCs w:val="28"/>
                        </w:rPr>
                        <w:t xml:space="preserve"> </w:t>
                      </w:r>
                      <w:hyperlink r:id="rId21" w:history="1">
                        <w:r w:rsidR="0070250D" w:rsidRPr="005804EC">
                          <w:rPr>
                            <w:rStyle w:val="Hyperlink"/>
                            <w:b/>
                            <w:bCs/>
                            <w:color w:val="FFFFFF" w:themeColor="background1"/>
                            <w:sz w:val="28"/>
                            <w:szCs w:val="28"/>
                          </w:rPr>
                          <w:t>www.nevo.co.il</w:t>
                        </w:r>
                      </w:hyperlink>
                      <w:r w:rsidR="0070250D" w:rsidRPr="005804EC">
                        <w:rPr>
                          <w:rFonts w:hint="cs"/>
                          <w:b/>
                          <w:bCs/>
                          <w:color w:val="FFFFFF" w:themeColor="background1"/>
                          <w:sz w:val="28"/>
                          <w:szCs w:val="28"/>
                          <w:rtl/>
                        </w:rPr>
                        <w:t xml:space="preserve"> לפסיקה המלאה ניתן לפנות לאתר </w:t>
                      </w:r>
                    </w:p>
                    <w:p w:rsidR="0070250D" w:rsidRDefault="0070250D" w:rsidP="0070250D">
                      <w:pPr>
                        <w:bidi/>
                        <w:jc w:val="center"/>
                        <w:rPr>
                          <w:rFonts w:hint="cs"/>
                          <w:rtl/>
                          <w:cs/>
                        </w:rPr>
                      </w:pPr>
                    </w:p>
                  </w:txbxContent>
                </v:textbox>
              </v:shape>
            </w:pict>
          </mc:Fallback>
        </mc:AlternateContent>
      </w:r>
      <w:r w:rsidR="0070250D">
        <w:rPr>
          <w:noProof/>
        </w:rPr>
        <w:drawing>
          <wp:anchor distT="0" distB="0" distL="114300" distR="114300" simplePos="0" relativeHeight="251667456" behindDoc="1" locked="0" layoutInCell="1" allowOverlap="1" wp14:anchorId="29C60BB5" wp14:editId="2DBBEE67">
            <wp:simplePos x="0" y="0"/>
            <wp:positionH relativeFrom="column">
              <wp:posOffset>1257935</wp:posOffset>
            </wp:positionH>
            <wp:positionV relativeFrom="paragraph">
              <wp:posOffset>601345</wp:posOffset>
            </wp:positionV>
            <wp:extent cx="3312160" cy="737235"/>
            <wp:effectExtent l="0" t="0" r="2540" b="5715"/>
            <wp:wrapTight wrapText="left">
              <wp:wrapPolygon edited="0">
                <wp:start x="0" y="0"/>
                <wp:lineTo x="0" y="21209"/>
                <wp:lineTo x="21492" y="21209"/>
                <wp:lineTo x="21492" y="0"/>
                <wp:lineTo x="0" y="0"/>
              </wp:wrapPolygon>
            </wp:wrapTight>
            <wp:docPr id="8" name="תמונה 8" descr="תמונה חדש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תמונה חדשה"/>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2160" cy="73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CD6" w:rsidRPr="00453CD6" w:rsidRDefault="00453CD6" w:rsidP="00A94915">
      <w:pPr>
        <w:bidi/>
        <w:spacing w:line="276" w:lineRule="auto"/>
        <w:jc w:val="center"/>
        <w:rPr>
          <w:rFonts w:ascii="Tahoma" w:hAnsi="Tahoma" w:cs="Tahoma"/>
          <w:b/>
          <w:bCs/>
          <w:sz w:val="36"/>
          <w:szCs w:val="36"/>
        </w:rPr>
      </w:pPr>
      <w:r w:rsidRPr="00453CD6">
        <w:rPr>
          <w:rFonts w:ascii="Tahoma" w:hAnsi="Tahoma" w:cs="Tahoma"/>
          <w:b/>
          <w:bCs/>
          <w:sz w:val="36"/>
          <w:szCs w:val="36"/>
          <w:rtl/>
        </w:rPr>
        <w:lastRenderedPageBreak/>
        <w:t>הצהרת העצמאות של מדינת היהודים</w:t>
      </w:r>
    </w:p>
    <w:p w:rsidR="00453CD6" w:rsidRPr="00453CD6" w:rsidRDefault="00453CD6" w:rsidP="00A94915">
      <w:pPr>
        <w:bidi/>
        <w:spacing w:line="276" w:lineRule="auto"/>
        <w:jc w:val="center"/>
        <w:rPr>
          <w:rFonts w:ascii="Tahoma" w:hAnsi="Tahoma" w:cs="Tahoma"/>
          <w:b/>
          <w:bCs/>
          <w:sz w:val="32"/>
          <w:szCs w:val="32"/>
        </w:rPr>
      </w:pPr>
      <w:r w:rsidRPr="00453CD6">
        <w:rPr>
          <w:rFonts w:ascii="Tahoma" w:hAnsi="Tahoma" w:cs="Tahoma"/>
          <w:b/>
          <w:bCs/>
          <w:sz w:val="32"/>
          <w:szCs w:val="32"/>
          <w:rtl/>
        </w:rPr>
        <w:t>שניסח נפוליאון בונפארטה</w:t>
      </w:r>
    </w:p>
    <w:p w:rsidR="00453CD6" w:rsidRPr="00453CD6" w:rsidRDefault="00453CD6" w:rsidP="00A94915">
      <w:pPr>
        <w:bidi/>
        <w:spacing w:line="276" w:lineRule="auto"/>
        <w:ind w:left="-32"/>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pPr>
    </w:p>
    <w:p w:rsidR="00453CD6" w:rsidRPr="00453CD6" w:rsidRDefault="00453CD6" w:rsidP="00A94915">
      <w:pPr>
        <w:bidi/>
        <w:spacing w:line="276" w:lineRule="auto"/>
        <w:ind w:left="-32"/>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pPr>
      <w:r w:rsidRPr="00453CD6">
        <w:rPr>
          <w:rFonts w:ascii="Courier New" w:hAnsi="Courier New" w:cs="Courier New"/>
          <w:sz w:val="27"/>
          <w:szCs w:val="27"/>
          <w:rtl/>
          <w14:shadow w14:blurRad="50800" w14:dist="38100" w14:dir="2700000" w14:sx="100000" w14:sy="100000" w14:kx="0" w14:ky="0" w14:algn="tl">
            <w14:srgbClr w14:val="000000">
              <w14:alpha w14:val="60000"/>
            </w14:srgbClr>
          </w14:shadow>
        </w:rPr>
        <w:t>ב- 20 באפריל 1799, במהלך הטלת המצור על עכו, סבר נפוליאון כי הוא מרוחק מהלך יום מירושלים, וצפה כי עם כיבושה, הוא יכריז על עצמאותה של מדינת היהודים.</w:t>
      </w:r>
    </w:p>
    <w:p w:rsidR="00453CD6" w:rsidRPr="00453CD6" w:rsidRDefault="00453CD6" w:rsidP="00A94915">
      <w:pPr>
        <w:bidi/>
        <w:spacing w:line="276" w:lineRule="auto"/>
        <w:ind w:left="-32"/>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pPr>
      <w:r w:rsidRPr="00453CD6">
        <w:rPr>
          <w:rFonts w:ascii="Courier New" w:hAnsi="Courier New" w:cs="Courier New"/>
          <w:sz w:val="27"/>
          <w:szCs w:val="27"/>
          <w:rtl/>
          <w14:shadow w14:blurRad="50800" w14:dist="38100" w14:dir="2700000" w14:sx="100000" w14:sy="100000" w14:kx="0" w14:ky="0" w14:algn="tl">
            <w14:srgbClr w14:val="000000">
              <w14:alpha w14:val="60000"/>
            </w14:srgbClr>
          </w14:shadow>
        </w:rPr>
        <w:t xml:space="preserve">לפיכך, הוא חיבר הצהרה, בהנחה שהוא אכן יוכל להכריז ביום המחרת על המדינה היהודית, בירושלים. אלא שהאנגלים עצרו את התקדמותו של נפוליאון, שנאלץ לסגת. הצהרת נפוליאון לא הוכרזה מעולם, והיא נגנזה בארכיונים הצרפתים. </w:t>
      </w:r>
    </w:p>
    <w:p w:rsidR="00453CD6" w:rsidRPr="00453CD6" w:rsidRDefault="00453CD6" w:rsidP="00A94915">
      <w:pPr>
        <w:bidi/>
        <w:spacing w:line="276" w:lineRule="auto"/>
        <w:ind w:left="-32"/>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pPr>
    </w:p>
    <w:p w:rsidR="00453CD6" w:rsidRPr="00453CD6" w:rsidRDefault="00453CD6" w:rsidP="00A94915">
      <w:pPr>
        <w:bidi/>
        <w:spacing w:line="276" w:lineRule="auto"/>
        <w:jc w:val="center"/>
        <w:rPr>
          <w:rFonts w:ascii="Courier New" w:hAnsi="Courier New" w:cs="Courier New"/>
          <w:sz w:val="27"/>
          <w:szCs w:val="27"/>
          <w:rtl/>
          <w14:shadow w14:blurRad="50800" w14:dist="38100" w14:dir="2700000" w14:sx="100000" w14:sy="100000" w14:kx="0" w14:ky="0" w14:algn="tl">
            <w14:srgbClr w14:val="000000">
              <w14:alpha w14:val="60000"/>
            </w14:srgbClr>
          </w14:shadow>
        </w:rPr>
      </w:pPr>
      <w:r>
        <w:rPr>
          <w:rFonts w:ascii="Courier New" w:hAnsi="Courier New" w:cs="Courier New"/>
          <w:noProof/>
          <w:sz w:val="27"/>
          <w:szCs w:val="27"/>
        </w:rPr>
        <w:drawing>
          <wp:inline distT="0" distB="0" distL="0" distR="0" wp14:anchorId="0B4FF470" wp14:editId="15612244">
            <wp:extent cx="4374709" cy="2861953"/>
            <wp:effectExtent l="0" t="0" r="6985"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8213" cy="2857703"/>
                    </a:xfrm>
                    <a:prstGeom prst="rect">
                      <a:avLst/>
                    </a:prstGeom>
                    <a:noFill/>
                    <a:ln>
                      <a:noFill/>
                    </a:ln>
                  </pic:spPr>
                </pic:pic>
              </a:graphicData>
            </a:graphic>
          </wp:inline>
        </w:drawing>
      </w:r>
    </w:p>
    <w:p w:rsidR="00453CD6" w:rsidRPr="00453CD6" w:rsidRDefault="00453CD6" w:rsidP="00A94915">
      <w:pPr>
        <w:bidi/>
        <w:spacing w:line="276" w:lineRule="auto"/>
        <w:ind w:left="-32"/>
        <w:jc w:val="both"/>
        <w:rPr>
          <w:rFonts w:ascii="Courier New" w:hAnsi="Courier New" w:cs="Courier New"/>
          <w:b/>
          <w:bCs/>
          <w:sz w:val="30"/>
          <w:szCs w:val="30"/>
          <w:rtl/>
          <w14:shadow w14:blurRad="50800" w14:dist="38100" w14:dir="2700000" w14:sx="100000" w14:sy="100000" w14:kx="0" w14:ky="0" w14:algn="tl">
            <w14:srgbClr w14:val="000000">
              <w14:alpha w14:val="60000"/>
            </w14:srgbClr>
          </w14:shadow>
        </w:rPr>
      </w:pPr>
    </w:p>
    <w:p w:rsidR="00453CD6" w:rsidRDefault="00453CD6" w:rsidP="00A94915">
      <w:pPr>
        <w:bidi/>
        <w:spacing w:line="276" w:lineRule="auto"/>
        <w:ind w:left="-32"/>
        <w:jc w:val="both"/>
        <w:rPr>
          <w:rFonts w:ascii="Courier New" w:hAnsi="Courier New" w:cs="Courier New"/>
          <w:b/>
          <w:bCs/>
          <w:sz w:val="30"/>
          <w:szCs w:val="30"/>
          <w:rtl/>
          <w14:shadow w14:blurRad="50800" w14:dist="38100" w14:dir="2700000" w14:sx="100000" w14:sy="100000" w14:kx="0" w14:ky="0" w14:algn="tl">
            <w14:srgbClr w14:val="000000">
              <w14:alpha w14:val="60000"/>
            </w14:srgbClr>
          </w14:shadow>
        </w:rPr>
      </w:pPr>
      <w:r w:rsidRPr="00453CD6">
        <w:rPr>
          <w:rFonts w:ascii="Courier New" w:hAnsi="Courier New" w:cs="Courier New"/>
          <w:b/>
          <w:bCs/>
          <w:sz w:val="30"/>
          <w:szCs w:val="30"/>
          <w:rtl/>
          <w14:shadow w14:blurRad="50800" w14:dist="38100" w14:dir="2700000" w14:sx="100000" w14:sy="100000" w14:kx="0" w14:ky="0" w14:algn="tl">
            <w14:srgbClr w14:val="000000">
              <w14:alpha w14:val="60000"/>
            </w14:srgbClr>
          </w14:shadow>
        </w:rPr>
        <w:t>להלן נוסחה המקורי של ההצהרה:</w:t>
      </w:r>
    </w:p>
    <w:p w:rsidR="00453CD6" w:rsidRPr="00453CD6" w:rsidRDefault="00453CD6" w:rsidP="00A94915">
      <w:pPr>
        <w:bidi/>
        <w:spacing w:line="276" w:lineRule="auto"/>
        <w:ind w:left="-32"/>
        <w:jc w:val="both"/>
        <w:rPr>
          <w:rFonts w:ascii="Courier New" w:hAnsi="Courier New" w:cs="Courier New"/>
          <w:b/>
          <w:bCs/>
          <w:sz w:val="30"/>
          <w:szCs w:val="30"/>
          <w:rtl/>
          <w14:shadow w14:blurRad="50800" w14:dist="38100" w14:dir="2700000" w14:sx="100000" w14:sy="100000" w14:kx="0" w14:ky="0" w14:algn="tl">
            <w14:srgbClr w14:val="000000">
              <w14:alpha w14:val="60000"/>
            </w14:srgbClr>
          </w14:shadow>
        </w:rPr>
      </w:pPr>
    </w:p>
    <w:p w:rsidR="00453CD6" w:rsidRDefault="00453CD6" w:rsidP="00A94915">
      <w:pPr>
        <w:bidi/>
        <w:spacing w:line="276" w:lineRule="auto"/>
        <w:ind w:left="-32"/>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pPr>
      <w:r w:rsidRPr="00453CD6">
        <w:rPr>
          <w:rFonts w:ascii="Courier New" w:hAnsi="Courier New" w:cs="Courier New"/>
          <w:sz w:val="27"/>
          <w:szCs w:val="27"/>
          <w:rtl/>
          <w14:shadow w14:blurRad="50800" w14:dist="38100" w14:dir="2700000" w14:sx="100000" w14:sy="100000" w14:kx="0" w14:ky="0" w14:algn="tl">
            <w14:srgbClr w14:val="000000">
              <w14:alpha w14:val="60000"/>
            </w14:srgbClr>
          </w14:shadow>
        </w:rPr>
        <w:t xml:space="preserve">הכרזה אל האומה היהודית, המטה הכללי ירושלים, ה-20 באפריל 1799, השנה ה- </w:t>
      </w:r>
      <w:r w:rsidRPr="00453CD6">
        <w:rPr>
          <w:rFonts w:ascii="Courier New" w:hAnsi="Courier New" w:cs="Courier New"/>
          <w:sz w:val="27"/>
          <w:szCs w:val="27"/>
          <w14:shadow w14:blurRad="50800" w14:dist="38100" w14:dir="2700000" w14:sx="100000" w14:sy="100000" w14:kx="0" w14:ky="0" w14:algn="tl">
            <w14:srgbClr w14:val="000000">
              <w14:alpha w14:val="60000"/>
            </w14:srgbClr>
          </w14:shadow>
        </w:rPr>
        <w:t xml:space="preserve">VII </w:t>
      </w:r>
      <w:r w:rsidRPr="00453CD6">
        <w:rPr>
          <w:rFonts w:ascii="Courier New" w:hAnsi="Courier New" w:cs="Courier New"/>
          <w:sz w:val="27"/>
          <w:szCs w:val="27"/>
          <w:rtl/>
          <w14:shadow w14:blurRad="50800" w14:dist="38100" w14:dir="2700000" w14:sx="100000" w14:sy="100000" w14:kx="0" w14:ky="0" w14:algn="tl">
            <w14:srgbClr w14:val="000000">
              <w14:alpha w14:val="60000"/>
            </w14:srgbClr>
          </w14:shadow>
        </w:rPr>
        <w:t xml:space="preserve"> לרפובליקה הצרפתית.</w:t>
      </w:r>
    </w:p>
    <w:p w:rsidR="00453CD6" w:rsidRPr="00453CD6" w:rsidRDefault="00453CD6" w:rsidP="00A94915">
      <w:pPr>
        <w:bidi/>
        <w:spacing w:line="276" w:lineRule="auto"/>
        <w:ind w:left="-32"/>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pPr>
    </w:p>
    <w:p w:rsidR="00453CD6" w:rsidRDefault="00453CD6" w:rsidP="00A94915">
      <w:pPr>
        <w:bidi/>
        <w:spacing w:line="276" w:lineRule="auto"/>
        <w:ind w:left="-32"/>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pPr>
      <w:r w:rsidRPr="00453CD6">
        <w:rPr>
          <w:rFonts w:ascii="Courier New" w:hAnsi="Courier New" w:cs="Courier New"/>
          <w:sz w:val="27"/>
          <w:szCs w:val="27"/>
          <w:rtl/>
          <w14:shadow w14:blurRad="50800" w14:dist="38100" w14:dir="2700000" w14:sx="100000" w14:sy="100000" w14:kx="0" w14:ky="0" w14:algn="tl">
            <w14:srgbClr w14:val="000000">
              <w14:alpha w14:val="60000"/>
            </w14:srgbClr>
          </w14:shadow>
        </w:rPr>
        <w:t xml:space="preserve">מאת: נפוליאון בונפארטה, המפקד הראשי של הצבאות הצרפתים באפריקה ובאסיה. </w:t>
      </w:r>
    </w:p>
    <w:p w:rsidR="00453CD6" w:rsidRPr="00453CD6" w:rsidRDefault="00453CD6" w:rsidP="00A94915">
      <w:pPr>
        <w:bidi/>
        <w:spacing w:line="276" w:lineRule="auto"/>
        <w:ind w:left="-32"/>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pPr>
    </w:p>
    <w:p w:rsidR="005C1F46" w:rsidRDefault="005C1F46" w:rsidP="00A94915">
      <w:pPr>
        <w:bidi/>
        <w:spacing w:line="276" w:lineRule="auto"/>
        <w:ind w:left="-32"/>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sectPr w:rsidR="005C1F46" w:rsidSect="00B45B66">
          <w:footerReference w:type="default" r:id="rId24"/>
          <w:footerReference w:type="first" r:id="rId25"/>
          <w:pgSz w:w="11906" w:h="16838"/>
          <w:pgMar w:top="1871" w:right="1701" w:bottom="1985" w:left="1418"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titlePg/>
          <w:bidi/>
          <w:rtlGutter/>
          <w:docGrid w:linePitch="360"/>
        </w:sectPr>
      </w:pPr>
    </w:p>
    <w:p w:rsidR="00453CD6" w:rsidRPr="00453CD6" w:rsidRDefault="00453CD6" w:rsidP="00A94915">
      <w:pPr>
        <w:bidi/>
        <w:spacing w:line="276" w:lineRule="auto"/>
        <w:ind w:left="-32"/>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pPr>
      <w:r w:rsidRPr="00453CD6">
        <w:rPr>
          <w:rFonts w:ascii="Courier New" w:hAnsi="Courier New" w:cs="Courier New"/>
          <w:sz w:val="27"/>
          <w:szCs w:val="27"/>
          <w:rtl/>
          <w14:shadow w14:blurRad="50800" w14:dist="38100" w14:dir="2700000" w14:sx="100000" w14:sy="100000" w14:kx="0" w14:ky="0" w14:algn="tl">
            <w14:srgbClr w14:val="000000">
              <w14:alpha w14:val="60000"/>
            </w14:srgbClr>
          </w14:shadow>
        </w:rPr>
        <w:lastRenderedPageBreak/>
        <w:t>אל: היורשים החוקיים של פלסטינה – בני ישראל, בני אומה ייחודית אשר במשך אלפי שנים הצליחו הכיבושים והעריצות לגזול מהם את אדמתם, אבל לא את שמם ולא את קיומם הלאומי.</w:t>
      </w:r>
    </w:p>
    <w:p w:rsidR="00453CD6" w:rsidRPr="00453CD6" w:rsidRDefault="00453CD6" w:rsidP="00A94915">
      <w:pPr>
        <w:bidi/>
        <w:spacing w:line="276" w:lineRule="auto"/>
        <w:ind w:left="-32"/>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pPr>
      <w:r w:rsidRPr="00453CD6">
        <w:rPr>
          <w:rFonts w:ascii="Courier New" w:hAnsi="Courier New" w:cs="Courier New"/>
          <w:sz w:val="27"/>
          <w:szCs w:val="27"/>
          <w:rtl/>
          <w14:shadow w14:blurRad="50800" w14:dist="38100" w14:dir="2700000" w14:sx="100000" w14:sy="100000" w14:kx="0" w14:ky="0" w14:algn="tl">
            <w14:srgbClr w14:val="000000">
              <w14:alpha w14:val="60000"/>
            </w14:srgbClr>
          </w14:shadow>
        </w:rPr>
        <w:t xml:space="preserve">הבוחנים בקפידה וללא משוא פנים את גורל האומות, אפילו אם הם חסרים את היכולת הנבואית של ישראל ושל הנביא יואל, מסיקים את האמת שבדברי הנבואות של הנביאים הגדולים, אשר ערב חורבן ציון ניבאו כי ילדיו של האל יחזרו למולדתם בשירה וברינה וכי העצב והאנחות ייעלם לעד. </w:t>
      </w:r>
    </w:p>
    <w:p w:rsidR="00453CD6" w:rsidRPr="00453CD6" w:rsidRDefault="00453CD6" w:rsidP="00A94915">
      <w:pPr>
        <w:bidi/>
        <w:spacing w:line="276" w:lineRule="auto"/>
        <w:ind w:left="-32"/>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pPr>
    </w:p>
    <w:p w:rsidR="00453CD6" w:rsidRDefault="00453CD6" w:rsidP="00A94915">
      <w:pPr>
        <w:bidi/>
        <w:spacing w:line="276" w:lineRule="auto"/>
        <w:ind w:left="-32"/>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pPr>
      <w:r w:rsidRPr="00453CD6">
        <w:rPr>
          <w:rFonts w:ascii="Courier New" w:hAnsi="Courier New" w:cs="Courier New"/>
          <w:sz w:val="27"/>
          <w:szCs w:val="27"/>
          <w:rtl/>
          <w14:shadow w14:blurRad="50800" w14:dist="38100" w14:dir="2700000" w14:sx="100000" w14:sy="100000" w14:kx="0" w14:ky="0" w14:algn="tl">
            <w14:srgbClr w14:val="000000">
              <w14:alpha w14:val="60000"/>
            </w14:srgbClr>
          </w14:shadow>
        </w:rPr>
        <w:t>קומו ברינה, הגולים!</w:t>
      </w:r>
    </w:p>
    <w:p w:rsidR="00453CD6" w:rsidRPr="00453CD6" w:rsidRDefault="00453CD6" w:rsidP="00A94915">
      <w:pPr>
        <w:bidi/>
        <w:spacing w:line="276" w:lineRule="auto"/>
        <w:ind w:left="-32"/>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pPr>
    </w:p>
    <w:p w:rsidR="00453CD6" w:rsidRPr="00453CD6" w:rsidRDefault="00453CD6" w:rsidP="00A94915">
      <w:pPr>
        <w:bidi/>
        <w:spacing w:line="276" w:lineRule="auto"/>
        <w:ind w:left="-32"/>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pPr>
      <w:r w:rsidRPr="00453CD6">
        <w:rPr>
          <w:rFonts w:ascii="Courier New" w:hAnsi="Courier New" w:cs="Courier New"/>
          <w:sz w:val="27"/>
          <w:szCs w:val="27"/>
          <w:rtl/>
          <w14:shadow w14:blurRad="50800" w14:dist="38100" w14:dir="2700000" w14:sx="100000" w14:sy="100000" w14:kx="0" w14:ky="0" w14:algn="tl">
            <w14:srgbClr w14:val="000000">
              <w14:alpha w14:val="60000"/>
            </w14:srgbClr>
          </w14:shadow>
        </w:rPr>
        <w:t>מלחמה זו שאין לה אח ורע בהיסטוריה כולה, נערכה כמלחמת הגנה עצמית על ידי אומה שאויביה ראו באדמותיה המורשות שלל שיש לחלוק אותו. כעת, מתנקמת אומה זו על אלפיים שנות ביזיון. אף על פי שנדמה כאילו התקופה והנסיבות אינן הולמות את ההצהרה ואפילו את עצם הביטוי של דרישותיכם, מלחמה זו מציעה לכם כיום, בניגוד לכל צפי, את מורשתכם הישראלית.</w:t>
      </w:r>
    </w:p>
    <w:p w:rsidR="00453CD6" w:rsidRPr="00453CD6" w:rsidRDefault="00453CD6" w:rsidP="00A94915">
      <w:pPr>
        <w:bidi/>
        <w:spacing w:line="276" w:lineRule="auto"/>
        <w:ind w:left="-32"/>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pPr>
    </w:p>
    <w:p w:rsidR="00453CD6" w:rsidRPr="00453CD6" w:rsidRDefault="00453CD6" w:rsidP="00A94915">
      <w:pPr>
        <w:bidi/>
        <w:spacing w:line="276" w:lineRule="auto"/>
        <w:ind w:left="-32"/>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pPr>
      <w:r w:rsidRPr="00453CD6">
        <w:rPr>
          <w:rFonts w:ascii="Courier New" w:hAnsi="Courier New" w:cs="Courier New"/>
          <w:sz w:val="27"/>
          <w:szCs w:val="27"/>
          <w:rtl/>
          <w14:shadow w14:blurRad="50800" w14:dist="38100" w14:dir="2700000" w14:sx="100000" w14:sy="100000" w14:kx="0" w14:ky="0" w14:algn="tl">
            <w14:srgbClr w14:val="000000">
              <w14:alpha w14:val="60000"/>
            </w14:srgbClr>
          </w14:shadow>
        </w:rPr>
        <w:t>ההשגחה העליונה שלחה אותי לכאן עם צבא צעיר, המודרך על ידי הצדק והמלווה בניצחון. המטה הכללי שלי הוא בירושלים, ובעוד כמה ימים אהיה בדמשק, שקירבתה שוב אינה מהווה סכנה לעיר דוד.</w:t>
      </w:r>
    </w:p>
    <w:p w:rsidR="00453CD6" w:rsidRPr="00453CD6" w:rsidRDefault="00453CD6" w:rsidP="00A94915">
      <w:pPr>
        <w:bidi/>
        <w:spacing w:line="276" w:lineRule="auto"/>
        <w:ind w:left="-32"/>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pPr>
    </w:p>
    <w:p w:rsidR="00453CD6" w:rsidRDefault="00453CD6" w:rsidP="00A94915">
      <w:pPr>
        <w:bidi/>
        <w:spacing w:line="276" w:lineRule="auto"/>
        <w:ind w:left="-32"/>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pPr>
      <w:r w:rsidRPr="00453CD6">
        <w:rPr>
          <w:rFonts w:ascii="Courier New" w:hAnsi="Courier New" w:cs="Courier New"/>
          <w:sz w:val="27"/>
          <w:szCs w:val="27"/>
          <w:rtl/>
          <w14:shadow w14:blurRad="50800" w14:dist="38100" w14:dir="2700000" w14:sx="100000" w14:sy="100000" w14:kx="0" w14:ky="0" w14:algn="tl">
            <w14:srgbClr w14:val="000000">
              <w14:alpha w14:val="60000"/>
            </w14:srgbClr>
          </w14:shadow>
        </w:rPr>
        <w:t>היורשים החוקיים של פלסטינה!</w:t>
      </w:r>
    </w:p>
    <w:p w:rsidR="00453CD6" w:rsidRPr="00453CD6" w:rsidRDefault="00453CD6" w:rsidP="00A94915">
      <w:pPr>
        <w:bidi/>
        <w:spacing w:line="276" w:lineRule="auto"/>
        <w:ind w:left="-32"/>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pPr>
    </w:p>
    <w:p w:rsidR="00453CD6" w:rsidRPr="00453CD6" w:rsidRDefault="00453CD6" w:rsidP="00A94915">
      <w:pPr>
        <w:bidi/>
        <w:spacing w:line="276" w:lineRule="auto"/>
        <w:ind w:left="-32"/>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pPr>
      <w:r w:rsidRPr="00453CD6">
        <w:rPr>
          <w:rFonts w:ascii="Courier New" w:hAnsi="Courier New" w:cs="Courier New"/>
          <w:sz w:val="27"/>
          <w:szCs w:val="27"/>
          <w:rtl/>
          <w14:shadow w14:blurRad="50800" w14:dist="38100" w14:dir="2700000" w14:sx="100000" w14:sy="100000" w14:kx="0" w14:ky="0" w14:algn="tl">
            <w14:srgbClr w14:val="000000">
              <w14:alpha w14:val="60000"/>
            </w14:srgbClr>
          </w14:shadow>
        </w:rPr>
        <w:t xml:space="preserve">האומה הגדולה אינה עוסקת במקח וממכר של בני אדם ושל ארצות כדוגמת אלה שמכרו את אבותיכם לכל האומות, והיא אינה קוראת לכם לכבוש את ירושתכם. </w:t>
      </w:r>
    </w:p>
    <w:p w:rsidR="00453CD6" w:rsidRPr="00453CD6" w:rsidRDefault="00453CD6" w:rsidP="00A94915">
      <w:pPr>
        <w:bidi/>
        <w:spacing w:line="276" w:lineRule="auto"/>
        <w:ind w:left="-32"/>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pPr>
      <w:r w:rsidRPr="00453CD6">
        <w:rPr>
          <w:rFonts w:ascii="Courier New" w:hAnsi="Courier New" w:cs="Courier New"/>
          <w:sz w:val="27"/>
          <w:szCs w:val="27"/>
          <w:rtl/>
          <w14:shadow w14:blurRad="50800" w14:dist="38100" w14:dir="2700000" w14:sx="100000" w14:sy="100000" w14:kx="0" w14:ky="0" w14:algn="tl">
            <w14:srgbClr w14:val="000000">
              <w14:alpha w14:val="60000"/>
            </w14:srgbClr>
          </w14:shadow>
        </w:rPr>
        <w:t>לא, כל שהיא מבקשת הוא ליטול ממנה את מה שהיא כבר כבשה, כשהיא תומכת בכם ומתירה לכם להמשיך ולהיות הבעלים על הארץ הזו ולשמור עליה למרות כל היריבים.</w:t>
      </w:r>
    </w:p>
    <w:p w:rsidR="005C1F46" w:rsidRDefault="005C1F46" w:rsidP="00A94915">
      <w:pPr>
        <w:bidi/>
        <w:spacing w:line="276" w:lineRule="auto"/>
        <w:ind w:left="-32"/>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sectPr w:rsidR="005C1F46" w:rsidSect="00B45B66">
          <w:pgSz w:w="11906" w:h="16838"/>
          <w:pgMar w:top="1871" w:right="1701" w:bottom="1985" w:left="1418"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titlePg/>
          <w:bidi/>
          <w:rtlGutter/>
          <w:docGrid w:linePitch="360"/>
        </w:sectPr>
      </w:pPr>
    </w:p>
    <w:p w:rsidR="00453CD6" w:rsidRPr="00453CD6" w:rsidRDefault="00453CD6" w:rsidP="00A94915">
      <w:pPr>
        <w:bidi/>
        <w:spacing w:line="276" w:lineRule="auto"/>
        <w:ind w:left="-32"/>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pPr>
      <w:r w:rsidRPr="00453CD6">
        <w:rPr>
          <w:rFonts w:ascii="Courier New" w:hAnsi="Courier New" w:cs="Courier New"/>
          <w:sz w:val="27"/>
          <w:szCs w:val="27"/>
          <w:rtl/>
          <w14:shadow w14:blurRad="50800" w14:dist="38100" w14:dir="2700000" w14:sx="100000" w14:sy="100000" w14:kx="0" w14:ky="0" w14:algn="tl">
            <w14:srgbClr w14:val="000000">
              <w14:alpha w14:val="60000"/>
            </w14:srgbClr>
          </w14:shadow>
        </w:rPr>
        <w:lastRenderedPageBreak/>
        <w:t>קומו!</w:t>
      </w:r>
    </w:p>
    <w:p w:rsidR="00453CD6" w:rsidRPr="00453CD6" w:rsidRDefault="00453CD6" w:rsidP="00A94915">
      <w:pPr>
        <w:bidi/>
        <w:spacing w:line="276" w:lineRule="auto"/>
        <w:ind w:left="-32"/>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pPr>
    </w:p>
    <w:p w:rsidR="00453CD6" w:rsidRPr="00453CD6" w:rsidRDefault="00453CD6" w:rsidP="00A94915">
      <w:pPr>
        <w:bidi/>
        <w:spacing w:line="276" w:lineRule="auto"/>
        <w:ind w:left="-32"/>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pPr>
      <w:r w:rsidRPr="00453CD6">
        <w:rPr>
          <w:rFonts w:ascii="Courier New" w:hAnsi="Courier New" w:cs="Courier New"/>
          <w:sz w:val="27"/>
          <w:szCs w:val="27"/>
          <w:rtl/>
          <w14:shadow w14:blurRad="50800" w14:dist="38100" w14:dir="2700000" w14:sx="100000" w14:sy="100000" w14:kx="0" w14:ky="0" w14:algn="tl">
            <w14:srgbClr w14:val="000000">
              <w14:alpha w14:val="60000"/>
            </w14:srgbClr>
          </w14:shadow>
        </w:rPr>
        <w:t>הוכיחו כי כל העוצמה של מדכאיכם לא הצליחה לקטול את אומץ ליבם של צאצאי הגיבורים שהיו מביאים כבוד לספרטה ולרומא.</w:t>
      </w:r>
    </w:p>
    <w:p w:rsidR="00453CD6" w:rsidRPr="00453CD6" w:rsidRDefault="00453CD6" w:rsidP="00A94915">
      <w:pPr>
        <w:bidi/>
        <w:spacing w:line="276" w:lineRule="auto"/>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pPr>
      <w:r w:rsidRPr="00453CD6">
        <w:rPr>
          <w:rFonts w:ascii="Courier New" w:hAnsi="Courier New" w:cs="Courier New"/>
          <w:sz w:val="27"/>
          <w:szCs w:val="27"/>
          <w:rtl/>
          <w14:shadow w14:blurRad="50800" w14:dist="38100" w14:dir="2700000" w14:sx="100000" w14:sy="100000" w14:kx="0" w14:ky="0" w14:algn="tl">
            <w14:srgbClr w14:val="000000">
              <w14:alpha w14:val="60000"/>
            </w14:srgbClr>
          </w14:shadow>
        </w:rPr>
        <w:t>הוכיחו כי אלפיים שנות עבדות לא הצליחו לחנוק את האומץ הזה.</w:t>
      </w:r>
    </w:p>
    <w:p w:rsidR="00453CD6" w:rsidRPr="00453CD6" w:rsidRDefault="00453CD6" w:rsidP="00A94915">
      <w:pPr>
        <w:bidi/>
        <w:spacing w:line="276" w:lineRule="auto"/>
        <w:ind w:left="-32"/>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pPr>
    </w:p>
    <w:p w:rsidR="00453CD6" w:rsidRDefault="00453CD6" w:rsidP="00A94915">
      <w:pPr>
        <w:bidi/>
        <w:spacing w:line="276" w:lineRule="auto"/>
        <w:ind w:left="-32"/>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pPr>
      <w:r w:rsidRPr="00453CD6">
        <w:rPr>
          <w:rFonts w:ascii="Courier New" w:hAnsi="Courier New" w:cs="Courier New"/>
          <w:sz w:val="27"/>
          <w:szCs w:val="27"/>
          <w:rtl/>
          <w14:shadow w14:blurRad="50800" w14:dist="38100" w14:dir="2700000" w14:sx="100000" w14:sy="100000" w14:kx="0" w14:ky="0" w14:algn="tl">
            <w14:srgbClr w14:val="000000">
              <w14:alpha w14:val="60000"/>
            </w14:srgbClr>
          </w14:shadow>
        </w:rPr>
        <w:t>הזדרזו!</w:t>
      </w:r>
    </w:p>
    <w:p w:rsidR="00453CD6" w:rsidRPr="00453CD6" w:rsidRDefault="00453CD6" w:rsidP="00A94915">
      <w:pPr>
        <w:bidi/>
        <w:spacing w:line="276" w:lineRule="auto"/>
        <w:ind w:left="-32"/>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pPr>
    </w:p>
    <w:p w:rsidR="00453CD6" w:rsidRPr="00453CD6" w:rsidRDefault="00453CD6" w:rsidP="00A94915">
      <w:pPr>
        <w:bidi/>
        <w:spacing w:line="276" w:lineRule="auto"/>
        <w:ind w:left="-32"/>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pPr>
      <w:r w:rsidRPr="00453CD6">
        <w:rPr>
          <w:rFonts w:ascii="Courier New" w:hAnsi="Courier New" w:cs="Courier New"/>
          <w:sz w:val="27"/>
          <w:szCs w:val="27"/>
          <w:rtl/>
          <w14:shadow w14:blurRad="50800" w14:dist="38100" w14:dir="2700000" w14:sx="100000" w14:sy="100000" w14:kx="0" w14:ky="0" w14:algn="tl">
            <w14:srgbClr w14:val="000000">
              <w14:alpha w14:val="60000"/>
            </w14:srgbClr>
          </w14:shadow>
        </w:rPr>
        <w:t>זהו הרגע, שייתכן כי לא יחזור שוב במשך אלף שנה, כדי לדרוש את החזרת זכויות האזרח שלכם, את השבת מקומכם בקרב עמי העולם. יש לכם מלוא הזכות לקיום פוליטי כאומה בקרב האומות האחרות. יש לכם הזכות לעבוד את אלוהיכם בהתאם לדתכם.</w:t>
      </w:r>
    </w:p>
    <w:p w:rsidR="00453CD6" w:rsidRPr="00453CD6" w:rsidRDefault="00453CD6" w:rsidP="00A94915">
      <w:pPr>
        <w:bidi/>
        <w:spacing w:line="276" w:lineRule="auto"/>
        <w:ind w:left="-32"/>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pPr>
    </w:p>
    <w:p w:rsidR="00453CD6" w:rsidRPr="00453CD6" w:rsidRDefault="00453CD6" w:rsidP="00A94915">
      <w:pPr>
        <w:bidi/>
        <w:spacing w:line="276" w:lineRule="auto"/>
        <w:ind w:left="-32"/>
        <w:jc w:val="both"/>
        <w:rPr>
          <w:rFonts w:ascii="Courier New" w:hAnsi="Courier New" w:cs="Courier New"/>
          <w:sz w:val="27"/>
          <w:szCs w:val="27"/>
          <w:rtl/>
          <w14:shadow w14:blurRad="50800" w14:dist="38100" w14:dir="2700000" w14:sx="100000" w14:sy="100000" w14:kx="0" w14:ky="0" w14:algn="tl">
            <w14:srgbClr w14:val="000000">
              <w14:alpha w14:val="60000"/>
            </w14:srgbClr>
          </w14:shadow>
        </w:rPr>
      </w:pPr>
      <w:r w:rsidRPr="00453CD6">
        <w:rPr>
          <w:rFonts w:ascii="Courier New" w:hAnsi="Courier New" w:cs="Courier New"/>
          <w:sz w:val="27"/>
          <w:szCs w:val="27"/>
          <w:rtl/>
          <w14:shadow w14:blurRad="50800" w14:dist="38100" w14:dir="2700000" w14:sx="100000" w14:sy="100000" w14:kx="0" w14:ky="0" w14:algn="tl">
            <w14:srgbClr w14:val="000000">
              <w14:alpha w14:val="60000"/>
            </w14:srgbClr>
          </w14:shadow>
        </w:rPr>
        <w:t>*תרגמה מצרפתית: ציונה בודנסקי</w:t>
      </w:r>
    </w:p>
    <w:p w:rsidR="00453CD6" w:rsidRPr="0007514D" w:rsidRDefault="00453CD6" w:rsidP="00453CD6">
      <w:pPr>
        <w:bidi/>
        <w:spacing w:line="360" w:lineRule="auto"/>
        <w:jc w:val="both"/>
        <w:rPr>
          <w:color w:val="0000FF"/>
          <w:sz w:val="22"/>
          <w:szCs w:val="18"/>
          <w:rtl/>
        </w:rPr>
      </w:pPr>
    </w:p>
    <w:p w:rsidR="00453CD6" w:rsidRDefault="00453CD6" w:rsidP="00453CD6">
      <w:pPr>
        <w:bidi/>
        <w:spacing w:line="360" w:lineRule="auto"/>
        <w:jc w:val="both"/>
        <w:rPr>
          <w:b/>
          <w:bCs/>
          <w:color w:val="0000FF"/>
          <w:sz w:val="32"/>
          <w:szCs w:val="32"/>
          <w:rtl/>
        </w:rPr>
      </w:pPr>
    </w:p>
    <w:p w:rsidR="00453CD6" w:rsidRDefault="00453CD6" w:rsidP="00453CD6">
      <w:pPr>
        <w:bidi/>
        <w:spacing w:line="360" w:lineRule="auto"/>
        <w:jc w:val="both"/>
        <w:rPr>
          <w:b/>
          <w:bCs/>
          <w:color w:val="0000FF"/>
          <w:sz w:val="32"/>
          <w:szCs w:val="32"/>
          <w:rtl/>
        </w:rPr>
      </w:pPr>
    </w:p>
    <w:p w:rsidR="00453CD6" w:rsidRDefault="00453CD6" w:rsidP="00453CD6">
      <w:pPr>
        <w:bidi/>
        <w:spacing w:line="360" w:lineRule="auto"/>
        <w:jc w:val="both"/>
        <w:rPr>
          <w:b/>
          <w:bCs/>
          <w:color w:val="0000FF"/>
          <w:sz w:val="32"/>
          <w:szCs w:val="32"/>
          <w:rtl/>
        </w:rPr>
      </w:pPr>
    </w:p>
    <w:p w:rsidR="00453CD6" w:rsidRDefault="00453CD6" w:rsidP="00453CD6">
      <w:pPr>
        <w:bidi/>
        <w:spacing w:line="360" w:lineRule="auto"/>
        <w:rPr>
          <w:b/>
          <w:bCs/>
          <w:color w:val="0000FF"/>
          <w:sz w:val="32"/>
          <w:szCs w:val="32"/>
          <w:rtl/>
        </w:rPr>
      </w:pPr>
    </w:p>
    <w:p w:rsidR="00453CD6" w:rsidRDefault="00453CD6" w:rsidP="00453CD6">
      <w:pPr>
        <w:bidi/>
        <w:spacing w:line="360" w:lineRule="auto"/>
        <w:rPr>
          <w:b/>
          <w:bCs/>
          <w:color w:val="0000FF"/>
          <w:sz w:val="32"/>
          <w:szCs w:val="32"/>
          <w:rtl/>
        </w:rPr>
      </w:pPr>
    </w:p>
    <w:p w:rsidR="00453CD6" w:rsidRDefault="00453CD6" w:rsidP="00453CD6">
      <w:pPr>
        <w:bidi/>
        <w:spacing w:line="360" w:lineRule="auto"/>
        <w:rPr>
          <w:b/>
          <w:bCs/>
          <w:color w:val="0000FF"/>
          <w:sz w:val="32"/>
          <w:szCs w:val="32"/>
          <w:rtl/>
        </w:rPr>
      </w:pPr>
    </w:p>
    <w:p w:rsidR="00453CD6" w:rsidRDefault="00453CD6" w:rsidP="00453CD6">
      <w:pPr>
        <w:bidi/>
        <w:spacing w:line="360" w:lineRule="auto"/>
        <w:rPr>
          <w:b/>
          <w:bCs/>
          <w:color w:val="0000FF"/>
          <w:sz w:val="32"/>
          <w:szCs w:val="32"/>
          <w:rtl/>
        </w:rPr>
      </w:pPr>
    </w:p>
    <w:p w:rsidR="00453CD6" w:rsidRDefault="00453CD6" w:rsidP="00453CD6">
      <w:pPr>
        <w:bidi/>
        <w:spacing w:line="360" w:lineRule="auto"/>
        <w:rPr>
          <w:b/>
          <w:bCs/>
          <w:color w:val="0000FF"/>
          <w:sz w:val="32"/>
          <w:szCs w:val="32"/>
          <w:rtl/>
        </w:rPr>
      </w:pPr>
    </w:p>
    <w:p w:rsidR="00453CD6" w:rsidRDefault="00453CD6" w:rsidP="00453CD6">
      <w:pPr>
        <w:bidi/>
        <w:spacing w:line="360" w:lineRule="auto"/>
        <w:rPr>
          <w:b/>
          <w:bCs/>
          <w:color w:val="0000FF"/>
          <w:sz w:val="32"/>
          <w:szCs w:val="32"/>
          <w:rtl/>
        </w:rPr>
      </w:pPr>
    </w:p>
    <w:p w:rsidR="00453CD6" w:rsidRDefault="00453CD6" w:rsidP="00453CD6">
      <w:pPr>
        <w:bidi/>
        <w:spacing w:line="360" w:lineRule="auto"/>
        <w:rPr>
          <w:b/>
          <w:bCs/>
          <w:color w:val="0000FF"/>
          <w:sz w:val="32"/>
          <w:szCs w:val="32"/>
          <w:rtl/>
        </w:rPr>
      </w:pPr>
    </w:p>
    <w:p w:rsidR="00453CD6" w:rsidRDefault="00453CD6" w:rsidP="00453CD6">
      <w:pPr>
        <w:bidi/>
        <w:spacing w:line="360" w:lineRule="auto"/>
        <w:rPr>
          <w:b/>
          <w:bCs/>
          <w:color w:val="0000FF"/>
          <w:sz w:val="32"/>
          <w:szCs w:val="32"/>
          <w:rtl/>
        </w:rPr>
      </w:pPr>
    </w:p>
    <w:p w:rsidR="00A94915" w:rsidRDefault="00A94915" w:rsidP="00A94915">
      <w:pPr>
        <w:bidi/>
        <w:spacing w:line="360" w:lineRule="auto"/>
        <w:rPr>
          <w:b/>
          <w:bCs/>
          <w:color w:val="0000FF"/>
          <w:sz w:val="32"/>
          <w:szCs w:val="32"/>
          <w:rtl/>
        </w:rPr>
      </w:pPr>
    </w:p>
    <w:p w:rsidR="00453CD6" w:rsidRDefault="00453CD6" w:rsidP="00453CD6">
      <w:pPr>
        <w:bidi/>
        <w:spacing w:line="360" w:lineRule="auto"/>
        <w:rPr>
          <w:b/>
          <w:bCs/>
          <w:color w:val="0000FF"/>
          <w:sz w:val="32"/>
          <w:szCs w:val="32"/>
          <w:rtl/>
        </w:rPr>
      </w:pPr>
    </w:p>
    <w:p w:rsidR="000118BE" w:rsidRPr="002D2BDD" w:rsidRDefault="000118BE" w:rsidP="00453CD6">
      <w:pPr>
        <w:bidi/>
        <w:spacing w:line="360" w:lineRule="auto"/>
        <w:rPr>
          <w:rFonts w:ascii="David" w:hAnsi="David"/>
          <w:b/>
          <w:bCs/>
          <w:color w:val="0000FF"/>
          <w:sz w:val="28"/>
          <w:szCs w:val="32"/>
          <w:rtl/>
        </w:rPr>
      </w:pPr>
      <w:r>
        <w:rPr>
          <w:rFonts w:hint="cs"/>
          <w:b/>
          <w:bCs/>
          <w:color w:val="0000FF"/>
          <w:sz w:val="32"/>
          <w:szCs w:val="32"/>
          <w:rtl/>
        </w:rPr>
        <w:lastRenderedPageBreak/>
        <w:t>66</w:t>
      </w:r>
      <w:r w:rsidRPr="002D2BDD">
        <w:rPr>
          <w:rFonts w:hint="cs"/>
          <w:b/>
          <w:bCs/>
          <w:color w:val="0000FF"/>
          <w:sz w:val="32"/>
          <w:szCs w:val="32"/>
          <w:rtl/>
        </w:rPr>
        <w:t xml:space="preserve"> שנה למדינת ישראל</w:t>
      </w:r>
      <w:r>
        <w:rPr>
          <w:rFonts w:hint="cs"/>
          <w:b/>
          <w:bCs/>
          <w:color w:val="0000FF"/>
          <w:sz w:val="32"/>
          <w:szCs w:val="32"/>
          <w:rtl/>
        </w:rPr>
        <w:t xml:space="preserve">   </w:t>
      </w:r>
      <w:r>
        <w:rPr>
          <w:rFonts w:hint="cs"/>
          <w:b/>
          <w:bCs/>
          <w:color w:val="0000FF"/>
          <w:sz w:val="32"/>
          <w:szCs w:val="32"/>
          <w:rtl/>
        </w:rPr>
        <w:tab/>
      </w:r>
      <w:r>
        <w:rPr>
          <w:rFonts w:hint="cs"/>
          <w:b/>
          <w:bCs/>
          <w:color w:val="0000FF"/>
          <w:sz w:val="32"/>
          <w:szCs w:val="32"/>
          <w:rtl/>
        </w:rPr>
        <w:tab/>
      </w:r>
      <w:r>
        <w:rPr>
          <w:rFonts w:hint="cs"/>
          <w:b/>
          <w:bCs/>
          <w:color w:val="0000FF"/>
          <w:sz w:val="32"/>
          <w:szCs w:val="32"/>
          <w:rtl/>
        </w:rPr>
        <w:tab/>
      </w:r>
      <w:r>
        <w:rPr>
          <w:rFonts w:hint="cs"/>
          <w:b/>
          <w:bCs/>
          <w:color w:val="0000FF"/>
          <w:sz w:val="32"/>
          <w:szCs w:val="32"/>
          <w:rtl/>
        </w:rPr>
        <w:tab/>
        <w:t xml:space="preserve"> </w:t>
      </w:r>
      <w:r w:rsidRPr="002D2BDD">
        <w:rPr>
          <w:rFonts w:ascii="David" w:hAnsi="David" w:hint="cs"/>
          <w:b/>
          <w:bCs/>
          <w:color w:val="0000FF"/>
          <w:sz w:val="28"/>
          <w:szCs w:val="32"/>
          <w:rtl/>
        </w:rPr>
        <w:t>חג עצמאות תש</w:t>
      </w:r>
      <w:r>
        <w:rPr>
          <w:rFonts w:ascii="David" w:hAnsi="David" w:hint="cs"/>
          <w:b/>
          <w:bCs/>
          <w:color w:val="0000FF"/>
          <w:sz w:val="28"/>
          <w:szCs w:val="32"/>
          <w:rtl/>
        </w:rPr>
        <w:t>ע</w:t>
      </w:r>
      <w:r w:rsidRPr="002D2BDD">
        <w:rPr>
          <w:rFonts w:ascii="David" w:hAnsi="David" w:hint="cs"/>
          <w:b/>
          <w:bCs/>
          <w:color w:val="0000FF"/>
          <w:sz w:val="28"/>
          <w:szCs w:val="32"/>
          <w:rtl/>
        </w:rPr>
        <w:t>"</w:t>
      </w:r>
      <w:r>
        <w:rPr>
          <w:rFonts w:ascii="David" w:hAnsi="David" w:hint="cs"/>
          <w:b/>
          <w:bCs/>
          <w:color w:val="0000FF"/>
          <w:sz w:val="28"/>
          <w:szCs w:val="32"/>
          <w:rtl/>
        </w:rPr>
        <w:t>ד</w:t>
      </w:r>
    </w:p>
    <w:p w:rsidR="000118BE" w:rsidRPr="00182454" w:rsidRDefault="000118BE" w:rsidP="000118BE">
      <w:pPr>
        <w:pStyle w:val="a4"/>
        <w:jc w:val="left"/>
        <w:rPr>
          <w:b/>
          <w:bCs/>
          <w:sz w:val="32"/>
          <w:szCs w:val="32"/>
        </w:rPr>
      </w:pPr>
    </w:p>
    <w:p w:rsidR="000118BE" w:rsidRDefault="000118BE" w:rsidP="000118BE">
      <w:pPr>
        <w:bidi/>
        <w:spacing w:line="360" w:lineRule="auto"/>
        <w:rPr>
          <w:rFonts w:ascii="David" w:hAnsi="David"/>
          <w:b/>
          <w:bCs/>
          <w:sz w:val="46"/>
          <w:szCs w:val="40"/>
          <w:rtl/>
        </w:rPr>
      </w:pPr>
      <w:r>
        <w:rPr>
          <w:rFonts w:ascii="David" w:hAnsi="David" w:hint="cs"/>
          <w:b/>
          <w:bCs/>
          <w:noProof/>
          <w:sz w:val="46"/>
          <w:szCs w:val="40"/>
          <w:rtl/>
        </w:rPr>
        <mc:AlternateContent>
          <mc:Choice Requires="wps">
            <w:drawing>
              <wp:anchor distT="0" distB="0" distL="114300" distR="114300" simplePos="0" relativeHeight="251659264" behindDoc="1" locked="0" layoutInCell="1" allowOverlap="1" wp14:anchorId="4A6C394F" wp14:editId="34DF64CA">
                <wp:simplePos x="0" y="0"/>
                <wp:positionH relativeFrom="column">
                  <wp:posOffset>-762000</wp:posOffset>
                </wp:positionH>
                <wp:positionV relativeFrom="paragraph">
                  <wp:posOffset>-441960</wp:posOffset>
                </wp:positionV>
                <wp:extent cx="2413000" cy="345440"/>
                <wp:effectExtent l="0" t="2540" r="0" b="4445"/>
                <wp:wrapNone/>
                <wp:docPr id="3" name="תיבת טקסט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6847" w:rsidRPr="0099406D" w:rsidRDefault="00F46847" w:rsidP="000118BE">
                            <w:pPr>
                              <w:bidi/>
                              <w:spacing w:line="360" w:lineRule="auto"/>
                              <w:rPr>
                                <w:rFonts w:ascii="David" w:hAnsi="David"/>
                                <w:b/>
                                <w:bCs/>
                                <w:color w:val="000000"/>
                                <w:sz w:val="28"/>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3" o:spid="_x0000_s1030" type="#_x0000_t202" style="position:absolute;left:0;text-align:left;margin-left:-60pt;margin-top:-34.8pt;width:190pt;height:2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" stroked="f">
                <v:textbox>
                  <w:txbxContent>
                    <w:p w:rsidR="0070250D" w:rsidRPr="0099406D" w:rsidRDefault="0070250D" w:rsidP="000118BE">
                      <w:pPr>
                        <w:bidi/>
                        <w:spacing w:line="360" w:lineRule="auto"/>
                        <w:rPr>
                          <w:rFonts w:ascii="David" w:hAnsi="David"/>
                          <w:b/>
                          <w:bCs/>
                          <w:color w:val="000000"/>
                          <w:sz w:val="28"/>
                          <w:szCs w:val="32"/>
                        </w:rPr>
                      </w:pPr>
                    </w:p>
                  </w:txbxContent>
                </v:textbox>
              </v:shape>
            </w:pict>
          </mc:Fallback>
        </mc:AlternateContent>
      </w:r>
      <w:r>
        <w:rPr>
          <w:rFonts w:ascii="David" w:hAnsi="David"/>
          <w:b/>
          <w:bCs/>
          <w:noProof/>
          <w:sz w:val="46"/>
          <w:szCs w:val="40"/>
          <w:rtl/>
        </w:rPr>
        <mc:AlternateContent>
          <mc:Choice Requires="wpc">
            <w:drawing>
              <wp:inline distT="0" distB="0" distL="0" distR="0" wp14:anchorId="792A7218" wp14:editId="6C680551">
                <wp:extent cx="5257800" cy="3086100"/>
                <wp:effectExtent l="0" t="0" r="0" b="0"/>
                <wp:docPr id="2" name="בד ציור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4" descr="36899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4682" y="604361"/>
                            <a:ext cx="4121719" cy="2480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בד ציור 2" o:spid="_x0000_s1026" editas="canvas" style="width:414pt;height:243pt;mso-position-horizontal-relative:char;mso-position-vertical-relative:line" coordsize="52578,30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">
                <v:shape id="_x0000_s1027" type="#_x0000_t75" style="position:absolute;width:52578;height:30861;visibility:visible;mso-wrap-style:square">
                  <v:fill o:detectmouseclick="t"/>
                  <v:path o:connecttype="none"/>
                </v:shape>
                <v:shape id="Picture 4" o:spid="_x0000_s1028" type="#_x0000_t75" alt="368994-5" style="position:absolute;left:5046;top:6043;width:41218;height:2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K1YXCAAAA2gAAAA8AAABkcnMvZG93bnJldi54bWxET8lqwzAQvRfyD2ICvYRGTqDFOJZDyAKF&#10;FkqT0PNgjRdsjYykJk6/vgoUehoeb518PZpeXMj51rKCxTwBQVxa3XKt4Hw6PKUgfEDW2FsmBTfy&#10;sC4mDzlm2l75ky7HUIsYwj5DBU0IQyalLxsy6Od2II5cZZ3BEKGrpXZ4jeGml8skeZEGW44NDQ60&#10;bajsjt9Gwd71X7vbrEtn789v9cFXfvnzkSr1OB03KxCBxvAv/nO/6jgf7q/cry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itWFwgAAANoAAAAPAAAAAAAAAAAAAAAAAJ8C&#10;AABkcnMvZG93bnJldi54bWxQSwUGAAAAAAQABAD3AAAAjgMAAAAA&#10;">
                  <v:imagedata r:id="rId27" o:title="368994-5"/>
                </v:shape>
                <w10:wrap anchorx="page"/>
                <w10:anchorlock/>
              </v:group>
            </w:pict>
          </mc:Fallback>
        </mc:AlternateContent>
      </w:r>
      <w:r>
        <w:rPr>
          <w:rFonts w:ascii="David" w:hAnsi="David" w:hint="cs"/>
          <w:b/>
          <w:bCs/>
          <w:sz w:val="46"/>
          <w:szCs w:val="40"/>
          <w:rtl/>
        </w:rPr>
        <w:t xml:space="preserve"> </w:t>
      </w:r>
    </w:p>
    <w:p w:rsidR="000118BE" w:rsidRDefault="000118BE" w:rsidP="000118BE">
      <w:pPr>
        <w:bidi/>
        <w:spacing w:line="360" w:lineRule="auto"/>
        <w:rPr>
          <w:rFonts w:ascii="David" w:hAnsi="David"/>
          <w:b/>
          <w:bCs/>
          <w:sz w:val="46"/>
          <w:szCs w:val="40"/>
          <w:rtl/>
        </w:rPr>
      </w:pPr>
    </w:p>
    <w:p w:rsidR="000118BE" w:rsidRPr="007A0B86" w:rsidRDefault="00AD7E28" w:rsidP="00AD7E28">
      <w:pPr>
        <w:bidi/>
        <w:spacing w:line="360" w:lineRule="auto"/>
        <w:rPr>
          <w:rFonts w:ascii="David" w:hAnsi="David"/>
          <w:b/>
          <w:bCs/>
          <w:color w:val="0000FF"/>
          <w:sz w:val="110"/>
          <w:szCs w:val="110"/>
          <w:rtl/>
          <w14:shadow w14:blurRad="50800" w14:dist="38100" w14:dir="2700000" w14:sx="100000" w14:sy="100000" w14:kx="0" w14:ky="0" w14:algn="tl">
            <w14:srgbClr w14:val="000000">
              <w14:alpha w14:val="60000"/>
            </w14:srgbClr>
          </w14:shadow>
        </w:rPr>
      </w:pPr>
      <w:r>
        <w:rPr>
          <w:rFonts w:ascii="David" w:hAnsi="David" w:hint="cs"/>
          <w:b/>
          <w:bCs/>
          <w:color w:val="0000FF"/>
          <w:sz w:val="110"/>
          <w:szCs w:val="110"/>
          <w:rtl/>
          <w14:shadow w14:blurRad="50800" w14:dist="38100" w14:dir="2700000" w14:sx="100000" w14:sy="100000" w14:kx="0" w14:ky="0" w14:algn="tl">
            <w14:srgbClr w14:val="000000">
              <w14:alpha w14:val="60000"/>
            </w14:srgbClr>
          </w14:shadow>
        </w:rPr>
        <w:t xml:space="preserve">     </w:t>
      </w:r>
      <w:r w:rsidR="000118BE" w:rsidRPr="007A0B86">
        <w:rPr>
          <w:rFonts w:ascii="David" w:hAnsi="David" w:hint="cs"/>
          <w:b/>
          <w:bCs/>
          <w:color w:val="0000FF"/>
          <w:sz w:val="110"/>
          <w:szCs w:val="110"/>
          <w:rtl/>
          <w14:shadow w14:blurRad="50800" w14:dist="38100" w14:dir="2700000" w14:sx="100000" w14:sy="100000" w14:kx="0" w14:ky="0" w14:algn="tl">
            <w14:srgbClr w14:val="000000">
              <w14:alpha w14:val="60000"/>
            </w14:srgbClr>
          </w14:shadow>
        </w:rPr>
        <w:t>עובד ומעביד 22</w:t>
      </w:r>
      <w:r>
        <w:rPr>
          <w:rFonts w:ascii="David" w:hAnsi="David" w:hint="cs"/>
          <w:b/>
          <w:bCs/>
          <w:color w:val="0000FF"/>
          <w:sz w:val="110"/>
          <w:szCs w:val="110"/>
          <w:rtl/>
          <w14:shadow w14:blurRad="50800" w14:dist="38100" w14:dir="2700000" w14:sx="100000" w14:sy="100000" w14:kx="0" w14:ky="0" w14:algn="tl">
            <w14:srgbClr w14:val="000000">
              <w14:alpha w14:val="60000"/>
            </w14:srgbClr>
          </w14:shadow>
        </w:rPr>
        <w:t xml:space="preserve">  </w:t>
      </w:r>
    </w:p>
    <w:p w:rsidR="000118BE" w:rsidRDefault="000118BE" w:rsidP="000118BE">
      <w:pPr>
        <w:bidi/>
        <w:spacing w:line="360" w:lineRule="auto"/>
        <w:jc w:val="center"/>
        <w:rPr>
          <w:rFonts w:ascii="David" w:hAnsi="David"/>
          <w:b/>
          <w:bCs/>
          <w:sz w:val="22"/>
          <w:szCs w:val="16"/>
          <w:rtl/>
        </w:rPr>
      </w:pPr>
    </w:p>
    <w:p w:rsidR="007A0B86" w:rsidRDefault="007A0B86" w:rsidP="007A0B86">
      <w:pPr>
        <w:bidi/>
        <w:spacing w:line="360" w:lineRule="auto"/>
        <w:jc w:val="center"/>
        <w:rPr>
          <w:rFonts w:ascii="David" w:hAnsi="David"/>
          <w:b/>
          <w:bCs/>
          <w:sz w:val="22"/>
          <w:szCs w:val="16"/>
          <w:rtl/>
        </w:rPr>
      </w:pPr>
    </w:p>
    <w:p w:rsidR="007A0B86" w:rsidRDefault="007A0B86" w:rsidP="007A0B86">
      <w:pPr>
        <w:bidi/>
        <w:spacing w:line="360" w:lineRule="auto"/>
        <w:jc w:val="center"/>
        <w:rPr>
          <w:rFonts w:ascii="David" w:hAnsi="David"/>
          <w:b/>
          <w:bCs/>
          <w:sz w:val="22"/>
          <w:szCs w:val="16"/>
          <w:rtl/>
        </w:rPr>
      </w:pPr>
    </w:p>
    <w:p w:rsidR="007A0B86" w:rsidRDefault="007A0B86" w:rsidP="007A0B86">
      <w:pPr>
        <w:bidi/>
        <w:spacing w:line="360" w:lineRule="auto"/>
        <w:jc w:val="center"/>
        <w:rPr>
          <w:rFonts w:ascii="David" w:hAnsi="David"/>
          <w:b/>
          <w:bCs/>
          <w:sz w:val="22"/>
          <w:szCs w:val="16"/>
          <w:rtl/>
        </w:rPr>
      </w:pPr>
    </w:p>
    <w:p w:rsidR="007A0B86" w:rsidRPr="000C4979" w:rsidRDefault="007A0B86" w:rsidP="007A0B86">
      <w:pPr>
        <w:bidi/>
        <w:spacing w:line="360" w:lineRule="auto"/>
        <w:jc w:val="center"/>
        <w:rPr>
          <w:rFonts w:ascii="David" w:hAnsi="David"/>
          <w:b/>
          <w:bCs/>
          <w:sz w:val="22"/>
          <w:szCs w:val="16"/>
          <w:rtl/>
        </w:rPr>
      </w:pPr>
    </w:p>
    <w:p w:rsidR="000118BE" w:rsidRPr="00EF4FF3" w:rsidRDefault="000118BE" w:rsidP="000118BE">
      <w:pPr>
        <w:bidi/>
        <w:spacing w:line="360" w:lineRule="auto"/>
        <w:ind w:left="-1104" w:right="-1000"/>
        <w:jc w:val="center"/>
        <w:rPr>
          <w:b/>
          <w:bCs/>
          <w:color w:val="0000FF"/>
          <w:sz w:val="38"/>
          <w:szCs w:val="32"/>
          <w:rtl/>
        </w:rPr>
      </w:pPr>
      <w:r w:rsidRPr="004D7E96">
        <w:rPr>
          <w:rFonts w:ascii="David" w:hAnsi="David" w:hint="cs"/>
          <w:b/>
          <w:bCs/>
          <w:color w:val="FF0000"/>
          <w:sz w:val="30"/>
        </w:rPr>
        <w:sym w:font="Wingdings 2" w:char="F066"/>
      </w:r>
      <w:r w:rsidRPr="004D7E96">
        <w:rPr>
          <w:rFonts w:ascii="David" w:hAnsi="David" w:hint="cs"/>
          <w:b/>
          <w:bCs/>
          <w:sz w:val="38"/>
          <w:szCs w:val="32"/>
          <w:rtl/>
        </w:rPr>
        <w:t xml:space="preserve"> </w:t>
      </w:r>
      <w:r w:rsidRPr="002D2BDD">
        <w:rPr>
          <w:rFonts w:ascii="David" w:hAnsi="David" w:hint="cs"/>
          <w:b/>
          <w:bCs/>
          <w:color w:val="0000FF"/>
          <w:sz w:val="38"/>
          <w:szCs w:val="32"/>
          <w:rtl/>
        </w:rPr>
        <w:t>סקירת חידושי פסיקה, חקיקה</w:t>
      </w:r>
      <w:r>
        <w:rPr>
          <w:rFonts w:ascii="David" w:hAnsi="David" w:hint="cs"/>
          <w:b/>
          <w:bCs/>
          <w:color w:val="0000FF"/>
          <w:sz w:val="38"/>
          <w:szCs w:val="32"/>
          <w:rtl/>
        </w:rPr>
        <w:t xml:space="preserve"> במשפט העבודה</w:t>
      </w:r>
      <w:r w:rsidRPr="002D2BDD">
        <w:rPr>
          <w:rFonts w:ascii="David" w:hAnsi="David" w:hint="cs"/>
          <w:b/>
          <w:bCs/>
          <w:color w:val="0000FF"/>
          <w:sz w:val="38"/>
          <w:szCs w:val="32"/>
          <w:rtl/>
        </w:rPr>
        <w:t>, בשנים 20</w:t>
      </w:r>
      <w:r>
        <w:rPr>
          <w:rFonts w:ascii="David" w:hAnsi="David" w:hint="cs"/>
          <w:b/>
          <w:bCs/>
          <w:color w:val="0000FF"/>
          <w:sz w:val="38"/>
          <w:szCs w:val="32"/>
          <w:rtl/>
        </w:rPr>
        <w:t>13</w:t>
      </w:r>
      <w:r w:rsidRPr="002D2BDD">
        <w:rPr>
          <w:rFonts w:ascii="David" w:hAnsi="David" w:hint="cs"/>
          <w:b/>
          <w:bCs/>
          <w:color w:val="0000FF"/>
          <w:sz w:val="38"/>
          <w:szCs w:val="32"/>
          <w:rtl/>
        </w:rPr>
        <w:t>/201</w:t>
      </w:r>
      <w:r>
        <w:rPr>
          <w:rFonts w:ascii="David" w:hAnsi="David" w:hint="cs"/>
          <w:b/>
          <w:bCs/>
          <w:color w:val="0000FF"/>
          <w:sz w:val="38"/>
          <w:szCs w:val="32"/>
          <w:rtl/>
        </w:rPr>
        <w:t>4</w:t>
      </w:r>
      <w:r w:rsidRPr="002D2BDD">
        <w:rPr>
          <w:rFonts w:ascii="David" w:hAnsi="David" w:hint="cs"/>
          <w:b/>
          <w:bCs/>
          <w:color w:val="0000FF"/>
          <w:sz w:val="38"/>
          <w:szCs w:val="32"/>
          <w:rtl/>
        </w:rPr>
        <w:t xml:space="preserve"> </w:t>
      </w:r>
      <w:r w:rsidRPr="002D2BDD">
        <w:rPr>
          <w:rFonts w:ascii="David" w:hAnsi="David" w:hint="cs"/>
          <w:b/>
          <w:bCs/>
          <w:color w:val="FF0000"/>
          <w:sz w:val="30"/>
        </w:rPr>
        <w:sym w:font="Wingdings 2" w:char="F065"/>
      </w:r>
    </w:p>
    <w:p w:rsidR="000118BE" w:rsidRDefault="000118BE" w:rsidP="000118BE">
      <w:pPr>
        <w:bidi/>
        <w:spacing w:line="360" w:lineRule="auto"/>
        <w:ind w:left="-1104" w:right="-1000"/>
        <w:jc w:val="center"/>
        <w:rPr>
          <w:b/>
          <w:bCs/>
          <w:color w:val="0000FF"/>
          <w:sz w:val="38"/>
          <w:szCs w:val="32"/>
          <w:rtl/>
        </w:rPr>
      </w:pPr>
    </w:p>
    <w:p w:rsidR="007A0B86" w:rsidRDefault="007A0B86" w:rsidP="007A0B86">
      <w:pPr>
        <w:bidi/>
        <w:spacing w:line="360" w:lineRule="auto"/>
        <w:ind w:left="-1104" w:right="-1000"/>
        <w:jc w:val="center"/>
        <w:rPr>
          <w:b/>
          <w:bCs/>
          <w:color w:val="0000FF"/>
          <w:sz w:val="38"/>
          <w:szCs w:val="32"/>
          <w:rtl/>
        </w:rPr>
      </w:pPr>
    </w:p>
    <w:p w:rsidR="000118BE" w:rsidRPr="002D2BDD" w:rsidRDefault="000118BE" w:rsidP="000118BE">
      <w:pPr>
        <w:bidi/>
        <w:spacing w:line="360" w:lineRule="auto"/>
        <w:jc w:val="center"/>
        <w:rPr>
          <w:rFonts w:ascii="David" w:hAnsi="David"/>
          <w:b/>
          <w:bCs/>
          <w:color w:val="0000FF"/>
          <w:sz w:val="36"/>
          <w:szCs w:val="30"/>
          <w:rtl/>
        </w:rPr>
      </w:pPr>
      <w:r w:rsidRPr="002D2BDD">
        <w:rPr>
          <w:rFonts w:ascii="David" w:hAnsi="David" w:hint="cs"/>
          <w:b/>
          <w:bCs/>
          <w:color w:val="0000FF"/>
          <w:sz w:val="36"/>
          <w:szCs w:val="30"/>
          <w:rtl/>
        </w:rPr>
        <w:t>עריכה: עו"ד אסף ברנזון ועו"ד חיים ברנזון</w:t>
      </w:r>
    </w:p>
    <w:p w:rsidR="000118BE" w:rsidRDefault="000118BE" w:rsidP="000118BE">
      <w:pPr>
        <w:bidi/>
        <w:spacing w:line="360" w:lineRule="auto"/>
        <w:rPr>
          <w:rFonts w:ascii="David" w:hAnsi="David"/>
          <w:b/>
          <w:bCs/>
          <w:sz w:val="30"/>
          <w:rtl/>
        </w:rPr>
      </w:pPr>
    </w:p>
    <w:p w:rsidR="000118BE" w:rsidRDefault="000118BE" w:rsidP="000118BE">
      <w:pPr>
        <w:bidi/>
        <w:spacing w:line="360" w:lineRule="auto"/>
        <w:rPr>
          <w:rFonts w:ascii="David" w:hAnsi="David"/>
          <w:b/>
          <w:bCs/>
          <w:sz w:val="30"/>
          <w:rtl/>
        </w:rPr>
      </w:pPr>
    </w:p>
    <w:p w:rsidR="000118BE" w:rsidRDefault="000118BE" w:rsidP="000118BE">
      <w:pPr>
        <w:bidi/>
        <w:spacing w:line="360" w:lineRule="auto"/>
        <w:rPr>
          <w:rFonts w:ascii="David" w:hAnsi="David"/>
          <w:b/>
          <w:bCs/>
          <w:sz w:val="30"/>
          <w:rtl/>
        </w:rPr>
      </w:pPr>
    </w:p>
    <w:p w:rsidR="000118BE" w:rsidRDefault="000118BE" w:rsidP="000118BE">
      <w:pPr>
        <w:bidi/>
        <w:spacing w:line="360" w:lineRule="auto"/>
        <w:rPr>
          <w:rFonts w:ascii="David" w:hAnsi="David"/>
          <w:b/>
          <w:bCs/>
          <w:sz w:val="30"/>
          <w:rtl/>
        </w:rPr>
      </w:pPr>
    </w:p>
    <w:sdt>
      <w:sdtPr>
        <w:rPr>
          <w:rFonts w:ascii="Times New Roman" w:hAnsi="Times New Roman" w:cs="David"/>
          <w:b w:val="0"/>
          <w:bCs w:val="0"/>
          <w:color w:val="auto"/>
          <w:sz w:val="20"/>
          <w:szCs w:val="24"/>
          <w:cs w:val="0"/>
          <w:lang w:val="he-IL"/>
        </w:rPr>
        <w:id w:val="-1356724720"/>
        <w:docPartObj>
          <w:docPartGallery w:val="Table of Contents"/>
          <w:docPartUnique/>
        </w:docPartObj>
      </w:sdtPr>
      <w:sdtEndPr>
        <w:rPr>
          <w:rtl w:val="0"/>
          <w:cs/>
          <w:lang w:val="en-US"/>
        </w:rPr>
      </w:sdtEndPr>
      <w:sdtContent>
        <w:p w:rsidR="0011570B" w:rsidRDefault="0011570B" w:rsidP="000215C8">
          <w:pPr>
            <w:pStyle w:val="af6"/>
            <w:bidi/>
            <w:spacing w:before="0"/>
            <w:jc w:val="both"/>
            <w:rPr>
              <w:rFonts w:cs="David"/>
              <w:sz w:val="60"/>
              <w:szCs w:val="60"/>
              <w:cs w:val="0"/>
              <w:lang w:val="he-IL"/>
            </w:rPr>
          </w:pPr>
          <w:r w:rsidRPr="0011570B">
            <w:rPr>
              <w:rFonts w:cs="David"/>
              <w:sz w:val="60"/>
              <w:szCs w:val="60"/>
              <w:cs w:val="0"/>
              <w:lang w:val="he-IL"/>
            </w:rPr>
            <w:t>תוכן עניינים</w:t>
          </w:r>
        </w:p>
        <w:p w:rsidR="00BB301E" w:rsidRDefault="00BB301E" w:rsidP="00BB301E">
          <w:pPr>
            <w:bidi/>
            <w:jc w:val="both"/>
            <w:rPr>
              <w:rtl/>
              <w:lang w:val="he-IL"/>
            </w:rPr>
          </w:pPr>
        </w:p>
        <w:p w:rsidR="0028013E" w:rsidRDefault="0028013E" w:rsidP="0028013E">
          <w:pPr>
            <w:bidi/>
            <w:jc w:val="both"/>
            <w:rPr>
              <w:rtl/>
              <w:lang w:val="he-IL"/>
            </w:rPr>
          </w:pPr>
        </w:p>
        <w:p w:rsidR="0028013E" w:rsidRPr="0011570B" w:rsidRDefault="0028013E" w:rsidP="0028013E">
          <w:pPr>
            <w:bidi/>
            <w:jc w:val="both"/>
            <w:rPr>
              <w:rtl/>
              <w:cs/>
              <w:lang w:val="he-IL"/>
            </w:rPr>
          </w:pPr>
        </w:p>
        <w:p w:rsidR="0011570B" w:rsidRDefault="0011570B" w:rsidP="00967E29">
          <w:pPr>
            <w:pStyle w:val="TOC1"/>
            <w:jc w:val="both"/>
            <w:rPr>
              <w:rtl/>
            </w:rPr>
          </w:pPr>
          <w:r w:rsidRPr="00D441CD">
            <w:rPr>
              <w:rFonts w:hint="cs"/>
              <w:rtl/>
            </w:rPr>
            <w:t>חלק ראשון: משפט עבודה אינדיווידואלי</w:t>
          </w:r>
          <w:r>
            <w:rPr>
              <w:b w:val="0"/>
              <w:bCs w:val="0"/>
              <w:rtl/>
            </w:rPr>
            <w:t xml:space="preserve"> </w:t>
          </w:r>
          <w:r>
            <w:ptab w:relativeTo="margin" w:alignment="right" w:leader="dot"/>
          </w:r>
          <w:r w:rsidR="00967E29">
            <w:rPr>
              <w:rFonts w:hint="cs"/>
              <w:rtl/>
              <w:cs/>
              <w:lang w:val="he-IL"/>
            </w:rPr>
            <w:t>8</w:t>
          </w:r>
        </w:p>
        <w:p w:rsidR="00AE17A8" w:rsidRPr="00AE17A8" w:rsidRDefault="00AE17A8" w:rsidP="00BB301E">
          <w:pPr>
            <w:bidi/>
            <w:jc w:val="both"/>
            <w:rPr>
              <w:rtl/>
              <w:cs/>
            </w:rPr>
          </w:pPr>
        </w:p>
        <w:p w:rsidR="0011570B" w:rsidRDefault="0011570B" w:rsidP="00967E29">
          <w:pPr>
            <w:pStyle w:val="TOC2"/>
            <w:numPr>
              <w:ilvl w:val="0"/>
              <w:numId w:val="52"/>
            </w:numPr>
            <w:jc w:val="both"/>
            <w:rPr>
              <w:rtl/>
              <w:cs/>
              <w:lang w:val="he-IL"/>
            </w:rPr>
          </w:pPr>
          <w:r w:rsidRPr="001861A3">
            <w:rPr>
              <w:rFonts w:hint="cs"/>
              <w:rtl/>
            </w:rPr>
            <w:t>עובד ומעביד</w:t>
          </w:r>
          <w:r>
            <w:rPr>
              <w:rtl/>
            </w:rPr>
            <w:t xml:space="preserve"> </w:t>
          </w:r>
          <w:r>
            <w:ptab w:relativeTo="margin" w:alignment="right" w:leader="dot"/>
          </w:r>
          <w:r w:rsidR="00967E29">
            <w:rPr>
              <w:rFonts w:hint="cs"/>
              <w:rtl/>
              <w:cs/>
              <w:lang w:val="he-IL"/>
            </w:rPr>
            <w:t>8</w:t>
          </w:r>
        </w:p>
        <w:p w:rsidR="004F692C" w:rsidRPr="004F692C" w:rsidRDefault="004F692C" w:rsidP="00BB301E">
          <w:pPr>
            <w:bidi/>
            <w:jc w:val="both"/>
            <w:rPr>
              <w:rtl/>
              <w:cs/>
              <w:lang w:val="he-IL"/>
            </w:rPr>
          </w:pPr>
        </w:p>
        <w:p w:rsidR="0011570B" w:rsidRDefault="0011570B" w:rsidP="00967E29">
          <w:pPr>
            <w:pStyle w:val="TOC3"/>
            <w:numPr>
              <w:ilvl w:val="0"/>
              <w:numId w:val="53"/>
            </w:numPr>
            <w:rPr>
              <w:rtl/>
            </w:rPr>
          </w:pPr>
          <w:r>
            <w:rPr>
              <w:rFonts w:hint="cs"/>
              <w:rtl/>
            </w:rPr>
            <w:t>מבחנים</w:t>
          </w:r>
          <w:r>
            <w:ptab w:relativeTo="margin" w:alignment="right" w:leader="dot"/>
          </w:r>
          <w:r w:rsidR="00967E29">
            <w:rPr>
              <w:rFonts w:hint="cs"/>
              <w:rtl/>
              <w:cs/>
              <w:lang w:val="he-IL"/>
            </w:rPr>
            <w:t>8</w:t>
          </w:r>
        </w:p>
        <w:p w:rsidR="001B5E00" w:rsidRDefault="001B5E00" w:rsidP="00967E29">
          <w:pPr>
            <w:pStyle w:val="TOC3"/>
            <w:numPr>
              <w:ilvl w:val="0"/>
              <w:numId w:val="53"/>
            </w:numPr>
            <w:rPr>
              <w:rtl/>
              <w:cs/>
              <w:lang w:val="he-IL"/>
            </w:rPr>
          </w:pPr>
          <w:r>
            <w:rPr>
              <w:rFonts w:hint="cs"/>
              <w:rtl/>
            </w:rPr>
            <w:t>הגדרת קבלן עצמאי כעובד למפרע</w:t>
          </w:r>
          <w:r>
            <w:ptab w:relativeTo="margin" w:alignment="right" w:leader="dot"/>
          </w:r>
          <w:r w:rsidR="00967E29">
            <w:rPr>
              <w:rFonts w:hint="cs"/>
              <w:rtl/>
              <w:cs/>
              <w:lang w:val="he-IL"/>
            </w:rPr>
            <w:t>13</w:t>
          </w:r>
        </w:p>
        <w:p w:rsidR="001B5E00" w:rsidRDefault="001B5E00" w:rsidP="00967E29">
          <w:pPr>
            <w:pStyle w:val="TOC3"/>
            <w:numPr>
              <w:ilvl w:val="0"/>
              <w:numId w:val="53"/>
            </w:numPr>
            <w:rPr>
              <w:rtl/>
              <w:cs/>
              <w:lang w:val="he-IL"/>
            </w:rPr>
          </w:pPr>
          <w:r>
            <w:rPr>
              <w:rFonts w:hint="cs"/>
              <w:rtl/>
            </w:rPr>
            <w:t>חברות כח אדם</w:t>
          </w:r>
          <w:r>
            <w:ptab w:relativeTo="margin" w:alignment="right" w:leader="dot"/>
          </w:r>
          <w:r w:rsidR="00967E29">
            <w:rPr>
              <w:rFonts w:hint="cs"/>
              <w:rtl/>
              <w:cs/>
              <w:lang w:val="he-IL"/>
            </w:rPr>
            <w:t>14</w:t>
          </w:r>
        </w:p>
        <w:p w:rsidR="001B5E00" w:rsidRDefault="001B5E00" w:rsidP="00967E29">
          <w:pPr>
            <w:pStyle w:val="TOC3"/>
            <w:numPr>
              <w:ilvl w:val="0"/>
              <w:numId w:val="53"/>
            </w:numPr>
            <w:rPr>
              <w:rtl/>
            </w:rPr>
          </w:pPr>
          <w:r>
            <w:rPr>
              <w:rFonts w:hint="cs"/>
              <w:rtl/>
            </w:rPr>
            <w:t>שינוי מעביד</w:t>
          </w:r>
          <w:r>
            <w:ptab w:relativeTo="margin" w:alignment="right" w:leader="dot"/>
          </w:r>
          <w:r w:rsidR="00272F96">
            <w:rPr>
              <w:rFonts w:hint="cs"/>
              <w:rtl/>
              <w:cs/>
              <w:lang w:val="he-IL"/>
            </w:rPr>
            <w:t>1</w:t>
          </w:r>
          <w:r w:rsidR="00967E29">
            <w:rPr>
              <w:rFonts w:hint="cs"/>
              <w:rtl/>
              <w:cs/>
              <w:lang w:val="he-IL"/>
            </w:rPr>
            <w:t>5</w:t>
          </w:r>
        </w:p>
        <w:p w:rsidR="001B5E00" w:rsidRPr="00AE17A8" w:rsidRDefault="001B5E00" w:rsidP="00BB301E">
          <w:pPr>
            <w:bidi/>
            <w:jc w:val="both"/>
          </w:pPr>
        </w:p>
        <w:p w:rsidR="0011570B" w:rsidRDefault="0011570B" w:rsidP="005557C2">
          <w:pPr>
            <w:pStyle w:val="TOC2"/>
            <w:numPr>
              <w:ilvl w:val="0"/>
              <w:numId w:val="52"/>
            </w:numPr>
            <w:jc w:val="both"/>
            <w:rPr>
              <w:rtl/>
              <w:lang w:val="he-IL"/>
            </w:rPr>
          </w:pPr>
          <w:r>
            <w:rPr>
              <w:rFonts w:hint="cs"/>
              <w:rtl/>
            </w:rPr>
            <w:t>סיום יחסי עבודה</w:t>
          </w:r>
          <w:r>
            <w:rPr>
              <w:rtl/>
            </w:rPr>
            <w:t xml:space="preserve"> </w:t>
          </w:r>
          <w:r w:rsidRPr="00272F96">
            <w:rPr>
              <w:lang w:val="he-IL"/>
            </w:rPr>
            <w:ptab w:relativeTo="margin" w:alignment="right" w:leader="dot"/>
          </w:r>
          <w:r w:rsidR="005557C2">
            <w:rPr>
              <w:rFonts w:cs="Times New Roman" w:hint="cs"/>
              <w:rtl/>
              <w:lang w:val="he-IL"/>
            </w:rPr>
            <w:t>16</w:t>
          </w:r>
        </w:p>
        <w:p w:rsidR="004F692C" w:rsidRPr="004F692C" w:rsidRDefault="004F692C" w:rsidP="00BB301E">
          <w:pPr>
            <w:bidi/>
            <w:jc w:val="both"/>
            <w:rPr>
              <w:rtl/>
              <w:lang w:val="he-IL"/>
            </w:rPr>
          </w:pPr>
        </w:p>
        <w:p w:rsidR="00AE17A8" w:rsidRDefault="00AE17A8" w:rsidP="005557C2">
          <w:pPr>
            <w:pStyle w:val="TOC3"/>
            <w:numPr>
              <w:ilvl w:val="0"/>
              <w:numId w:val="54"/>
            </w:numPr>
            <w:rPr>
              <w:rtl/>
              <w:cs/>
              <w:lang w:val="he-IL"/>
            </w:rPr>
          </w:pPr>
          <w:r>
            <w:rPr>
              <w:rFonts w:hint="cs"/>
              <w:rtl/>
            </w:rPr>
            <w:t>פיטורים, התפטרות והתפטרות בדין פיטורים</w:t>
          </w:r>
          <w:r>
            <w:ptab w:relativeTo="margin" w:alignment="right" w:leader="dot"/>
          </w:r>
          <w:r w:rsidR="005557C2">
            <w:rPr>
              <w:rFonts w:hint="cs"/>
              <w:rtl/>
              <w:cs/>
              <w:lang w:val="he-IL"/>
            </w:rPr>
            <w:t>16</w:t>
          </w:r>
        </w:p>
        <w:p w:rsidR="00AE17A8" w:rsidRDefault="00AE17A8" w:rsidP="00272F96">
          <w:pPr>
            <w:pStyle w:val="TOC3"/>
            <w:numPr>
              <w:ilvl w:val="0"/>
              <w:numId w:val="54"/>
            </w:numPr>
            <w:rPr>
              <w:rtl/>
              <w:cs/>
              <w:lang w:val="he-IL"/>
            </w:rPr>
          </w:pPr>
          <w:r>
            <w:rPr>
              <w:rFonts w:hint="cs"/>
              <w:rtl/>
            </w:rPr>
            <w:t>פיצויי פיטורים</w:t>
          </w:r>
          <w:r>
            <w:ptab w:relativeTo="margin" w:alignment="right" w:leader="dot"/>
          </w:r>
          <w:r w:rsidR="005557C2">
            <w:rPr>
              <w:rFonts w:hint="cs"/>
              <w:rtl/>
              <w:cs/>
              <w:lang w:val="he-IL"/>
            </w:rPr>
            <w:t>21</w:t>
          </w:r>
        </w:p>
        <w:p w:rsidR="00AE17A8" w:rsidRDefault="00AE17A8" w:rsidP="00BB301E">
          <w:pPr>
            <w:pStyle w:val="TOC3"/>
            <w:numPr>
              <w:ilvl w:val="0"/>
              <w:numId w:val="54"/>
            </w:numPr>
            <w:rPr>
              <w:rtl/>
              <w:cs/>
              <w:lang w:val="he-IL"/>
            </w:rPr>
          </w:pPr>
          <w:r>
            <w:rPr>
              <w:rFonts w:hint="cs"/>
              <w:rtl/>
            </w:rPr>
            <w:t>שימוע</w:t>
          </w:r>
          <w:r>
            <w:ptab w:relativeTo="margin" w:alignment="right" w:leader="dot"/>
          </w:r>
          <w:r w:rsidR="005557C2">
            <w:rPr>
              <w:rFonts w:hint="cs"/>
              <w:rtl/>
              <w:cs/>
              <w:lang w:val="he-IL"/>
            </w:rPr>
            <w:t>24</w:t>
          </w:r>
        </w:p>
        <w:p w:rsidR="00AE17A8" w:rsidRDefault="00AE17A8" w:rsidP="00BB301E">
          <w:pPr>
            <w:pStyle w:val="TOC3"/>
            <w:numPr>
              <w:ilvl w:val="0"/>
              <w:numId w:val="54"/>
            </w:numPr>
            <w:rPr>
              <w:rtl/>
              <w:cs/>
              <w:lang w:val="he-IL"/>
            </w:rPr>
          </w:pPr>
          <w:r>
            <w:rPr>
              <w:rFonts w:hint="cs"/>
              <w:rtl/>
            </w:rPr>
            <w:t>אכיפה או פיצוי בגין פיטורים שלא כדין</w:t>
          </w:r>
          <w:r>
            <w:ptab w:relativeTo="margin" w:alignment="right" w:leader="dot"/>
          </w:r>
          <w:r w:rsidR="005557C2">
            <w:rPr>
              <w:rFonts w:hint="cs"/>
              <w:rtl/>
              <w:cs/>
              <w:lang w:val="he-IL"/>
            </w:rPr>
            <w:t>25</w:t>
          </w:r>
        </w:p>
        <w:p w:rsidR="00AE17A8" w:rsidRDefault="00AE17A8" w:rsidP="00BB301E">
          <w:pPr>
            <w:pStyle w:val="TOC3"/>
            <w:numPr>
              <w:ilvl w:val="0"/>
              <w:numId w:val="54"/>
            </w:numPr>
            <w:rPr>
              <w:rtl/>
              <w:cs/>
              <w:lang w:val="he-IL"/>
            </w:rPr>
          </w:pPr>
          <w:r>
            <w:rPr>
              <w:rFonts w:hint="cs"/>
              <w:rtl/>
            </w:rPr>
            <w:t>הפרת הסכם עבודה</w:t>
          </w:r>
          <w:r>
            <w:ptab w:relativeTo="margin" w:alignment="right" w:leader="dot"/>
          </w:r>
          <w:r w:rsidR="005557C2">
            <w:rPr>
              <w:rFonts w:hint="cs"/>
              <w:rtl/>
              <w:cs/>
              <w:lang w:val="he-IL"/>
            </w:rPr>
            <w:t>27</w:t>
          </w:r>
        </w:p>
        <w:p w:rsidR="00AE17A8" w:rsidRDefault="00AE17A8" w:rsidP="00BB301E">
          <w:pPr>
            <w:pStyle w:val="TOC3"/>
            <w:numPr>
              <w:ilvl w:val="0"/>
              <w:numId w:val="54"/>
            </w:numPr>
            <w:rPr>
              <w:rtl/>
              <w:cs/>
              <w:lang w:val="he-IL"/>
            </w:rPr>
          </w:pPr>
          <w:r>
            <w:rPr>
              <w:rFonts w:hint="cs"/>
              <w:rtl/>
            </w:rPr>
            <w:t>הסכם עבודה לתקופה קצובה</w:t>
          </w:r>
          <w:r>
            <w:ptab w:relativeTo="margin" w:alignment="right" w:leader="dot"/>
          </w:r>
          <w:r w:rsidR="005557C2">
            <w:rPr>
              <w:rFonts w:hint="cs"/>
              <w:rtl/>
              <w:cs/>
              <w:lang w:val="he-IL"/>
            </w:rPr>
            <w:t>28</w:t>
          </w:r>
        </w:p>
        <w:p w:rsidR="00AE17A8" w:rsidRDefault="00AE17A8" w:rsidP="00BB301E">
          <w:pPr>
            <w:pStyle w:val="TOC3"/>
            <w:numPr>
              <w:ilvl w:val="0"/>
              <w:numId w:val="54"/>
            </w:numPr>
            <w:rPr>
              <w:rtl/>
              <w:cs/>
              <w:lang w:val="he-IL"/>
            </w:rPr>
          </w:pPr>
          <w:r>
            <w:rPr>
              <w:rFonts w:hint="cs"/>
              <w:rtl/>
            </w:rPr>
            <w:t>פיצוי בגין הקמת עסק מתחרה</w:t>
          </w:r>
          <w:r w:rsidR="004F692C">
            <w:rPr>
              <w:rFonts w:hint="cs"/>
              <w:rtl/>
            </w:rPr>
            <w:t xml:space="preserve"> לעסקו של המעביד</w:t>
          </w:r>
          <w:r>
            <w:ptab w:relativeTo="margin" w:alignment="right" w:leader="dot"/>
          </w:r>
          <w:r w:rsidR="005557C2">
            <w:rPr>
              <w:rFonts w:hint="cs"/>
              <w:rtl/>
              <w:cs/>
              <w:lang w:val="he-IL"/>
            </w:rPr>
            <w:t>29</w:t>
          </w:r>
        </w:p>
        <w:p w:rsidR="00AE17A8" w:rsidRDefault="004F692C" w:rsidP="00BB301E">
          <w:pPr>
            <w:pStyle w:val="TOC3"/>
            <w:numPr>
              <w:ilvl w:val="0"/>
              <w:numId w:val="54"/>
            </w:numPr>
            <w:rPr>
              <w:rtl/>
            </w:rPr>
          </w:pPr>
          <w:r>
            <w:rPr>
              <w:rFonts w:hint="cs"/>
              <w:rtl/>
            </w:rPr>
            <w:t>פיצוי מיוחד</w:t>
          </w:r>
          <w:r w:rsidR="00AE17A8">
            <w:ptab w:relativeTo="margin" w:alignment="right" w:leader="dot"/>
          </w:r>
          <w:r w:rsidR="005557C2">
            <w:rPr>
              <w:rFonts w:hint="cs"/>
              <w:rtl/>
              <w:cs/>
              <w:lang w:val="he-IL"/>
            </w:rPr>
            <w:t>30</w:t>
          </w:r>
        </w:p>
        <w:p w:rsidR="00AE17A8" w:rsidRPr="00AE17A8" w:rsidRDefault="00AE17A8" w:rsidP="00BB301E">
          <w:pPr>
            <w:bidi/>
            <w:jc w:val="both"/>
            <w:rPr>
              <w:rtl/>
              <w:lang w:val="he-IL"/>
            </w:rPr>
          </w:pPr>
        </w:p>
        <w:p w:rsidR="0011570B" w:rsidRDefault="0011570B" w:rsidP="006967FB">
          <w:pPr>
            <w:pStyle w:val="TOC2"/>
            <w:numPr>
              <w:ilvl w:val="0"/>
              <w:numId w:val="52"/>
            </w:numPr>
            <w:jc w:val="both"/>
            <w:rPr>
              <w:rtl/>
              <w:lang w:val="he-IL"/>
            </w:rPr>
          </w:pPr>
          <w:r>
            <w:rPr>
              <w:rFonts w:hint="cs"/>
              <w:rtl/>
            </w:rPr>
            <w:t>שכר, זכויות סוציאליות</w:t>
          </w:r>
          <w:r>
            <w:ptab w:relativeTo="margin" w:alignment="right" w:leader="dot"/>
          </w:r>
          <w:r w:rsidR="005557C2">
            <w:rPr>
              <w:rFonts w:hint="cs"/>
              <w:rtl/>
              <w:cs/>
              <w:lang w:val="he-IL"/>
            </w:rPr>
            <w:t>31</w:t>
          </w:r>
        </w:p>
        <w:p w:rsidR="004F692C" w:rsidRPr="004F692C" w:rsidRDefault="004F692C" w:rsidP="00BB301E">
          <w:pPr>
            <w:bidi/>
            <w:jc w:val="both"/>
            <w:rPr>
              <w:rtl/>
              <w:lang w:val="he-IL"/>
            </w:rPr>
          </w:pPr>
        </w:p>
        <w:p w:rsidR="004F692C" w:rsidRDefault="004F692C" w:rsidP="006967FB">
          <w:pPr>
            <w:pStyle w:val="TOC3"/>
            <w:numPr>
              <w:ilvl w:val="0"/>
              <w:numId w:val="55"/>
            </w:numPr>
            <w:rPr>
              <w:rtl/>
              <w:cs/>
              <w:lang w:val="he-IL"/>
            </w:rPr>
          </w:pPr>
          <w:r>
            <w:rPr>
              <w:rFonts w:hint="cs"/>
              <w:rtl/>
            </w:rPr>
            <w:t>שעות עבודה, מנוחה, חופשה והבראה</w:t>
          </w:r>
          <w:r>
            <w:ptab w:relativeTo="margin" w:alignment="right" w:leader="dot"/>
          </w:r>
          <w:r w:rsidR="005557C2">
            <w:rPr>
              <w:rFonts w:hint="cs"/>
              <w:rtl/>
              <w:cs/>
              <w:lang w:val="he-IL"/>
            </w:rPr>
            <w:t>31</w:t>
          </w:r>
        </w:p>
        <w:p w:rsidR="004F692C" w:rsidRDefault="004F692C" w:rsidP="00BB301E">
          <w:pPr>
            <w:pStyle w:val="TOC3"/>
            <w:numPr>
              <w:ilvl w:val="0"/>
              <w:numId w:val="55"/>
            </w:numPr>
            <w:rPr>
              <w:rtl/>
              <w:cs/>
              <w:lang w:val="he-IL"/>
            </w:rPr>
          </w:pPr>
          <w:r>
            <w:rPr>
              <w:rFonts w:hint="cs"/>
              <w:rtl/>
            </w:rPr>
            <w:t>הזכות לעבודה בישיבה</w:t>
          </w:r>
          <w:r>
            <w:ptab w:relativeTo="margin" w:alignment="right" w:leader="dot"/>
          </w:r>
          <w:r w:rsidR="005557C2">
            <w:rPr>
              <w:rFonts w:hint="cs"/>
              <w:rtl/>
              <w:cs/>
              <w:lang w:val="he-IL"/>
            </w:rPr>
            <w:t>31</w:t>
          </w:r>
        </w:p>
        <w:p w:rsidR="004F692C" w:rsidRDefault="004F692C" w:rsidP="00BB301E">
          <w:pPr>
            <w:pStyle w:val="TOC3"/>
            <w:numPr>
              <w:ilvl w:val="0"/>
              <w:numId w:val="55"/>
            </w:numPr>
            <w:rPr>
              <w:rtl/>
            </w:rPr>
          </w:pPr>
          <w:r>
            <w:rPr>
              <w:rFonts w:hint="cs"/>
              <w:rtl/>
            </w:rPr>
            <w:t>הטבות בגין לימודים</w:t>
          </w:r>
          <w:r>
            <w:ptab w:relativeTo="margin" w:alignment="right" w:leader="dot"/>
          </w:r>
          <w:r w:rsidR="005557C2">
            <w:rPr>
              <w:rFonts w:hint="cs"/>
              <w:rtl/>
              <w:cs/>
              <w:lang w:val="he-IL"/>
            </w:rPr>
            <w:t>32</w:t>
          </w:r>
        </w:p>
        <w:p w:rsidR="004F692C" w:rsidRPr="004F692C" w:rsidRDefault="004F692C" w:rsidP="00BB301E">
          <w:pPr>
            <w:bidi/>
            <w:jc w:val="both"/>
            <w:rPr>
              <w:rtl/>
              <w:lang w:val="he-IL"/>
            </w:rPr>
          </w:pPr>
        </w:p>
        <w:p w:rsidR="001B5E00" w:rsidRDefault="001B5E00" w:rsidP="00BB301E">
          <w:pPr>
            <w:pStyle w:val="TOC2"/>
            <w:numPr>
              <w:ilvl w:val="0"/>
              <w:numId w:val="52"/>
            </w:numPr>
            <w:jc w:val="both"/>
            <w:rPr>
              <w:rtl/>
              <w:cs/>
              <w:lang w:val="he-IL"/>
            </w:rPr>
          </w:pPr>
          <w:r>
            <w:rPr>
              <w:rFonts w:hint="cs"/>
              <w:rtl/>
            </w:rPr>
            <w:t>שפט מינהלי</w:t>
          </w:r>
          <w:r>
            <w:rPr>
              <w:rtl/>
            </w:rPr>
            <w:t xml:space="preserve"> </w:t>
          </w:r>
          <w:r>
            <w:ptab w:relativeTo="margin" w:alignment="right" w:leader="dot"/>
          </w:r>
          <w:r w:rsidR="005557C2">
            <w:rPr>
              <w:rFonts w:hint="cs"/>
              <w:rtl/>
              <w:cs/>
              <w:lang w:val="he-IL"/>
            </w:rPr>
            <w:t>32</w:t>
          </w:r>
        </w:p>
        <w:p w:rsidR="004F692C" w:rsidRPr="004F692C" w:rsidRDefault="004F692C" w:rsidP="00BB301E">
          <w:pPr>
            <w:bidi/>
            <w:jc w:val="both"/>
            <w:rPr>
              <w:rtl/>
              <w:cs/>
              <w:lang w:val="he-IL"/>
            </w:rPr>
          </w:pPr>
        </w:p>
        <w:p w:rsidR="004F692C" w:rsidRDefault="004F692C" w:rsidP="00BB301E">
          <w:pPr>
            <w:pStyle w:val="TOC3"/>
            <w:numPr>
              <w:ilvl w:val="0"/>
              <w:numId w:val="56"/>
            </w:numPr>
            <w:rPr>
              <w:rtl/>
            </w:rPr>
          </w:pPr>
          <w:r>
            <w:rPr>
              <w:rFonts w:hint="cs"/>
              <w:rtl/>
            </w:rPr>
            <w:t>מינויים</w:t>
          </w:r>
          <w:r>
            <w:ptab w:relativeTo="margin" w:alignment="right" w:leader="dot"/>
          </w:r>
          <w:r w:rsidR="005557C2">
            <w:rPr>
              <w:rFonts w:hint="cs"/>
              <w:rtl/>
              <w:cs/>
              <w:lang w:val="he-IL"/>
            </w:rPr>
            <w:t>32</w:t>
          </w:r>
        </w:p>
        <w:p w:rsidR="004F692C" w:rsidRPr="004F692C" w:rsidRDefault="004F692C" w:rsidP="00BB301E">
          <w:pPr>
            <w:bidi/>
            <w:jc w:val="both"/>
            <w:rPr>
              <w:rtl/>
            </w:rPr>
          </w:pPr>
        </w:p>
        <w:p w:rsidR="001B5E00" w:rsidRDefault="001B5E00" w:rsidP="00BB301E">
          <w:pPr>
            <w:pStyle w:val="TOC2"/>
            <w:numPr>
              <w:ilvl w:val="0"/>
              <w:numId w:val="52"/>
            </w:numPr>
            <w:jc w:val="both"/>
            <w:rPr>
              <w:rtl/>
              <w:lang w:val="he-IL"/>
            </w:rPr>
          </w:pPr>
          <w:r>
            <w:rPr>
              <w:rFonts w:hint="cs"/>
              <w:rtl/>
            </w:rPr>
            <w:t>אפליה בעבודה</w:t>
          </w:r>
          <w:r>
            <w:rPr>
              <w:rtl/>
            </w:rPr>
            <w:t xml:space="preserve"> </w:t>
          </w:r>
          <w:r>
            <w:ptab w:relativeTo="margin" w:alignment="right" w:leader="dot"/>
          </w:r>
          <w:r w:rsidR="005557C2">
            <w:rPr>
              <w:rFonts w:hint="cs"/>
              <w:rtl/>
              <w:cs/>
              <w:lang w:val="he-IL"/>
            </w:rPr>
            <w:t>33</w:t>
          </w:r>
        </w:p>
        <w:p w:rsidR="004F692C" w:rsidRPr="006967FB" w:rsidRDefault="004F692C" w:rsidP="00BB301E">
          <w:pPr>
            <w:rPr>
              <w:rtl/>
            </w:rPr>
          </w:pPr>
        </w:p>
        <w:p w:rsidR="004F692C" w:rsidRDefault="004F692C" w:rsidP="005557C2">
          <w:pPr>
            <w:pStyle w:val="TOC3"/>
            <w:numPr>
              <w:ilvl w:val="0"/>
              <w:numId w:val="57"/>
            </w:numPr>
            <w:rPr>
              <w:rtl/>
              <w:cs/>
              <w:lang w:val="he-IL"/>
            </w:rPr>
          </w:pPr>
          <w:r>
            <w:rPr>
              <w:rFonts w:hint="cs"/>
              <w:rtl/>
            </w:rPr>
            <w:t>פיטורי עובדת בהריון/ טיפולי פוריות</w:t>
          </w:r>
          <w:r>
            <w:ptab w:relativeTo="margin" w:alignment="right" w:leader="dot"/>
          </w:r>
          <w:r w:rsidR="005557C2">
            <w:rPr>
              <w:rFonts w:hint="cs"/>
              <w:rtl/>
              <w:cs/>
            </w:rPr>
            <w:t>33</w:t>
          </w:r>
        </w:p>
        <w:p w:rsidR="004F692C" w:rsidRDefault="004F692C" w:rsidP="00BB301E">
          <w:pPr>
            <w:pStyle w:val="TOC3"/>
            <w:numPr>
              <w:ilvl w:val="0"/>
              <w:numId w:val="57"/>
            </w:numPr>
            <w:jc w:val="left"/>
            <w:rPr>
              <w:rtl/>
            </w:rPr>
          </w:pPr>
          <w:r>
            <w:rPr>
              <w:rFonts w:hint="cs"/>
              <w:rtl/>
            </w:rPr>
            <w:t>אפליה מחמת גיל/מין/מוגבלות/הורות והריון</w:t>
          </w:r>
          <w:r>
            <w:ptab w:relativeTo="margin" w:alignment="right" w:leader="dot"/>
          </w:r>
          <w:r w:rsidR="005557C2">
            <w:rPr>
              <w:rFonts w:hint="cs"/>
              <w:rtl/>
              <w:cs/>
              <w:lang w:val="he-IL"/>
            </w:rPr>
            <w:t>37</w:t>
          </w:r>
        </w:p>
        <w:p w:rsidR="004F692C" w:rsidRDefault="004F692C" w:rsidP="00BB301E">
          <w:pPr>
            <w:pStyle w:val="TOC3"/>
            <w:numPr>
              <w:ilvl w:val="0"/>
              <w:numId w:val="57"/>
            </w:numPr>
            <w:jc w:val="left"/>
            <w:rPr>
              <w:rtl/>
            </w:rPr>
          </w:pPr>
          <w:r>
            <w:rPr>
              <w:rFonts w:hint="cs"/>
              <w:rtl/>
            </w:rPr>
            <w:t>אפליה מחמת חברות בוועד העובדים</w:t>
          </w:r>
          <w:r>
            <w:ptab w:relativeTo="margin" w:alignment="right" w:leader="dot"/>
          </w:r>
          <w:r w:rsidR="006967FB">
            <w:rPr>
              <w:rFonts w:hint="cs"/>
              <w:rtl/>
              <w:cs/>
              <w:lang w:val="he-IL"/>
            </w:rPr>
            <w:t>3</w:t>
          </w:r>
          <w:r w:rsidR="00F47F9C">
            <w:rPr>
              <w:rFonts w:hint="cs"/>
              <w:rtl/>
              <w:cs/>
              <w:lang w:val="he-IL"/>
            </w:rPr>
            <w:t>8</w:t>
          </w:r>
        </w:p>
        <w:p w:rsidR="00BB301E" w:rsidRPr="004F692C" w:rsidRDefault="00BB301E" w:rsidP="00BB301E">
          <w:pPr>
            <w:bidi/>
            <w:jc w:val="both"/>
            <w:rPr>
              <w:rtl/>
              <w:cs/>
            </w:rPr>
          </w:pPr>
        </w:p>
        <w:p w:rsidR="001B5E00" w:rsidRDefault="001B5E00" w:rsidP="008C415B">
          <w:pPr>
            <w:pStyle w:val="TOC2"/>
            <w:numPr>
              <w:ilvl w:val="0"/>
              <w:numId w:val="52"/>
            </w:numPr>
            <w:jc w:val="both"/>
            <w:rPr>
              <w:rtl/>
              <w:cs/>
              <w:lang w:val="he-IL"/>
            </w:rPr>
          </w:pPr>
          <w:r>
            <w:rPr>
              <w:rFonts w:hint="cs"/>
              <w:rtl/>
            </w:rPr>
            <w:lastRenderedPageBreak/>
            <w:t>סמכות וסדרי דין</w:t>
          </w:r>
          <w:r>
            <w:rPr>
              <w:rtl/>
            </w:rPr>
            <w:t xml:space="preserve"> </w:t>
          </w:r>
          <w:r>
            <w:ptab w:relativeTo="margin" w:alignment="right" w:leader="dot"/>
          </w:r>
          <w:r w:rsidR="007F60E2">
            <w:rPr>
              <w:rFonts w:hint="cs"/>
              <w:rtl/>
              <w:cs/>
              <w:lang w:val="he-IL"/>
            </w:rPr>
            <w:t>39</w:t>
          </w:r>
        </w:p>
        <w:p w:rsidR="004F692C" w:rsidRPr="008C415B" w:rsidRDefault="004F692C" w:rsidP="00BB301E">
          <w:pPr>
            <w:rPr>
              <w:rtl/>
              <w:cs/>
            </w:rPr>
          </w:pPr>
        </w:p>
        <w:p w:rsidR="004F692C" w:rsidRDefault="004F692C" w:rsidP="007F60E2">
          <w:pPr>
            <w:pStyle w:val="TOC3"/>
            <w:numPr>
              <w:ilvl w:val="0"/>
              <w:numId w:val="58"/>
            </w:numPr>
            <w:jc w:val="left"/>
            <w:rPr>
              <w:rtl/>
              <w:cs/>
              <w:lang w:val="he-IL"/>
            </w:rPr>
          </w:pPr>
          <w:r>
            <w:rPr>
              <w:rFonts w:hint="cs"/>
              <w:rtl/>
            </w:rPr>
            <w:t>סמכות בית הדין לעבודה</w:t>
          </w:r>
          <w:r>
            <w:ptab w:relativeTo="margin" w:alignment="right" w:leader="dot"/>
          </w:r>
          <w:r w:rsidR="007F60E2">
            <w:rPr>
              <w:rFonts w:hint="cs"/>
              <w:rtl/>
              <w:cs/>
              <w:lang w:val="he-IL"/>
            </w:rPr>
            <w:t>39</w:t>
          </w:r>
        </w:p>
        <w:p w:rsidR="004F692C" w:rsidRDefault="004F692C" w:rsidP="008C415B">
          <w:pPr>
            <w:pStyle w:val="TOC3"/>
            <w:numPr>
              <w:ilvl w:val="0"/>
              <w:numId w:val="58"/>
            </w:numPr>
            <w:jc w:val="left"/>
            <w:rPr>
              <w:rtl/>
            </w:rPr>
          </w:pPr>
          <w:r>
            <w:rPr>
              <w:rFonts w:hint="cs"/>
              <w:rtl/>
            </w:rPr>
            <w:t>גילוי מסמכים</w:t>
          </w:r>
          <w:r>
            <w:ptab w:relativeTo="margin" w:alignment="right" w:leader="dot"/>
          </w:r>
          <w:r w:rsidR="007F60E2">
            <w:rPr>
              <w:rFonts w:hint="cs"/>
              <w:rtl/>
              <w:cs/>
              <w:lang w:val="he-IL"/>
            </w:rPr>
            <w:t>40</w:t>
          </w:r>
        </w:p>
        <w:p w:rsidR="004F692C" w:rsidRDefault="004F692C" w:rsidP="007F60E2">
          <w:pPr>
            <w:pStyle w:val="TOC3"/>
            <w:numPr>
              <w:ilvl w:val="0"/>
              <w:numId w:val="58"/>
            </w:numPr>
            <w:jc w:val="left"/>
            <w:rPr>
              <w:rtl/>
              <w:cs/>
              <w:lang w:val="he-IL"/>
            </w:rPr>
          </w:pPr>
          <w:r>
            <w:rPr>
              <w:rFonts w:hint="cs"/>
              <w:rtl/>
            </w:rPr>
            <w:t>תובענות ייצוגיות</w:t>
          </w:r>
          <w:r>
            <w:ptab w:relativeTo="margin" w:alignment="right" w:leader="dot"/>
          </w:r>
          <w:r w:rsidR="007F60E2">
            <w:rPr>
              <w:rFonts w:hint="cs"/>
              <w:rtl/>
              <w:cs/>
              <w:lang w:val="he-IL"/>
            </w:rPr>
            <w:t>43</w:t>
          </w:r>
        </w:p>
        <w:p w:rsidR="004F692C" w:rsidRDefault="004F692C" w:rsidP="007F60E2">
          <w:pPr>
            <w:pStyle w:val="TOC3"/>
            <w:numPr>
              <w:ilvl w:val="0"/>
              <w:numId w:val="58"/>
            </w:numPr>
            <w:jc w:val="left"/>
            <w:rPr>
              <w:rtl/>
              <w:cs/>
              <w:lang w:val="he-IL"/>
            </w:rPr>
          </w:pPr>
          <w:r>
            <w:rPr>
              <w:rFonts w:hint="cs"/>
              <w:rtl/>
            </w:rPr>
            <w:t>עיכוב ביצוע פסק דין</w:t>
          </w:r>
          <w:r>
            <w:ptab w:relativeTo="margin" w:alignment="right" w:leader="dot"/>
          </w:r>
          <w:r w:rsidR="007F60E2">
            <w:rPr>
              <w:rFonts w:hint="cs"/>
              <w:rtl/>
              <w:cs/>
              <w:lang w:val="he-IL"/>
            </w:rPr>
            <w:t>45</w:t>
          </w:r>
        </w:p>
        <w:p w:rsidR="004F692C" w:rsidRDefault="004F692C" w:rsidP="007F60E2">
          <w:pPr>
            <w:pStyle w:val="TOC3"/>
            <w:numPr>
              <w:ilvl w:val="0"/>
              <w:numId w:val="58"/>
            </w:numPr>
            <w:jc w:val="left"/>
            <w:rPr>
              <w:rtl/>
              <w:cs/>
              <w:lang w:val="he-IL"/>
            </w:rPr>
          </w:pPr>
          <w:r>
            <w:rPr>
              <w:rFonts w:hint="cs"/>
              <w:rtl/>
            </w:rPr>
            <w:t>צירוף צדדים</w:t>
          </w:r>
          <w:r>
            <w:ptab w:relativeTo="margin" w:alignment="right" w:leader="dot"/>
          </w:r>
          <w:r w:rsidR="008C415B">
            <w:rPr>
              <w:rFonts w:hint="cs"/>
              <w:rtl/>
              <w:cs/>
              <w:lang w:val="he-IL"/>
            </w:rPr>
            <w:t>4</w:t>
          </w:r>
          <w:r w:rsidR="00BC3E4B">
            <w:rPr>
              <w:rFonts w:hint="cs"/>
              <w:rtl/>
              <w:cs/>
              <w:lang w:val="he-IL"/>
            </w:rPr>
            <w:t>6</w:t>
          </w:r>
        </w:p>
        <w:p w:rsidR="004F692C" w:rsidRDefault="004F692C" w:rsidP="007F60E2">
          <w:pPr>
            <w:pStyle w:val="TOC3"/>
            <w:numPr>
              <w:ilvl w:val="0"/>
              <w:numId w:val="58"/>
            </w:numPr>
            <w:jc w:val="left"/>
            <w:rPr>
              <w:rtl/>
            </w:rPr>
          </w:pPr>
          <w:r>
            <w:rPr>
              <w:rFonts w:hint="cs"/>
              <w:rtl/>
            </w:rPr>
            <w:t>סעד</w:t>
          </w:r>
          <w:r>
            <w:ptab w:relativeTo="margin" w:alignment="right" w:leader="dot"/>
          </w:r>
          <w:r w:rsidR="007F60E2">
            <w:rPr>
              <w:rFonts w:hint="cs"/>
              <w:rtl/>
              <w:cs/>
              <w:lang w:val="he-IL"/>
            </w:rPr>
            <w:t>47</w:t>
          </w:r>
        </w:p>
        <w:p w:rsidR="004F692C" w:rsidRPr="008C415B" w:rsidRDefault="004F692C" w:rsidP="00BB301E"/>
        <w:p w:rsidR="001B5E00" w:rsidRDefault="001B5E00" w:rsidP="00BB301E">
          <w:pPr>
            <w:pStyle w:val="TOC2"/>
            <w:numPr>
              <w:ilvl w:val="0"/>
              <w:numId w:val="52"/>
            </w:numPr>
            <w:jc w:val="both"/>
            <w:rPr>
              <w:rtl/>
              <w:cs/>
              <w:lang w:val="he-IL"/>
            </w:rPr>
          </w:pPr>
          <w:r>
            <w:rPr>
              <w:rFonts w:hint="cs"/>
              <w:rtl/>
            </w:rPr>
            <w:t>ביטוח לאומי</w:t>
          </w:r>
          <w:r>
            <w:rPr>
              <w:rtl/>
            </w:rPr>
            <w:t xml:space="preserve"> </w:t>
          </w:r>
          <w:r>
            <w:ptab w:relativeTo="margin" w:alignment="right" w:leader="dot"/>
          </w:r>
          <w:r w:rsidR="007F60E2">
            <w:rPr>
              <w:rFonts w:hint="cs"/>
              <w:rtl/>
              <w:cs/>
              <w:lang w:val="he-IL"/>
            </w:rPr>
            <w:t>48</w:t>
          </w:r>
        </w:p>
        <w:p w:rsidR="004F692C" w:rsidRPr="008C415B" w:rsidRDefault="004F692C" w:rsidP="00BB301E">
          <w:pPr>
            <w:rPr>
              <w:rtl/>
              <w:cs/>
            </w:rPr>
          </w:pPr>
        </w:p>
        <w:p w:rsidR="004F692C" w:rsidRDefault="004F692C" w:rsidP="00BB301E">
          <w:pPr>
            <w:pStyle w:val="TOC3"/>
            <w:numPr>
              <w:ilvl w:val="0"/>
              <w:numId w:val="59"/>
            </w:numPr>
            <w:jc w:val="left"/>
            <w:rPr>
              <w:rtl/>
              <w:cs/>
              <w:lang w:val="he-IL"/>
            </w:rPr>
          </w:pPr>
          <w:r>
            <w:rPr>
              <w:rFonts w:hint="cs"/>
              <w:rtl/>
            </w:rPr>
            <w:t>דמי אבטלה</w:t>
          </w:r>
          <w:r>
            <w:ptab w:relativeTo="margin" w:alignment="right" w:leader="dot"/>
          </w:r>
          <w:r w:rsidR="007F60E2">
            <w:rPr>
              <w:rFonts w:hint="cs"/>
              <w:rtl/>
              <w:cs/>
              <w:lang w:val="he-IL"/>
            </w:rPr>
            <w:t>48</w:t>
          </w:r>
        </w:p>
        <w:p w:rsidR="004F692C" w:rsidRDefault="004F692C" w:rsidP="00BB301E">
          <w:pPr>
            <w:pStyle w:val="TOC3"/>
            <w:numPr>
              <w:ilvl w:val="0"/>
              <w:numId w:val="59"/>
            </w:numPr>
            <w:jc w:val="left"/>
            <w:rPr>
              <w:rtl/>
            </w:rPr>
          </w:pPr>
          <w:r>
            <w:rPr>
              <w:rFonts w:hint="cs"/>
              <w:rtl/>
            </w:rPr>
            <w:t>תאונת עבודה, לאחר שעות העבודה</w:t>
          </w:r>
          <w:r>
            <w:ptab w:relativeTo="margin" w:alignment="right" w:leader="dot"/>
          </w:r>
          <w:r w:rsidR="007F60E2">
            <w:rPr>
              <w:rFonts w:hint="cs"/>
              <w:rtl/>
              <w:cs/>
              <w:lang w:val="he-IL"/>
            </w:rPr>
            <w:t>50</w:t>
          </w:r>
        </w:p>
        <w:p w:rsidR="004F692C" w:rsidRPr="004F692C" w:rsidRDefault="004F692C" w:rsidP="00BB301E">
          <w:pPr>
            <w:rPr>
              <w:rtl/>
            </w:rPr>
          </w:pPr>
        </w:p>
        <w:p w:rsidR="001B5E00" w:rsidRDefault="001B5E00" w:rsidP="00BB301E">
          <w:pPr>
            <w:pStyle w:val="TOC2"/>
            <w:numPr>
              <w:ilvl w:val="0"/>
              <w:numId w:val="52"/>
            </w:numPr>
            <w:jc w:val="both"/>
            <w:rPr>
              <w:rtl/>
              <w:cs/>
              <w:lang w:val="he-IL"/>
            </w:rPr>
          </w:pPr>
          <w:r>
            <w:rPr>
              <w:rFonts w:hint="cs"/>
              <w:rtl/>
            </w:rPr>
            <w:t>מיסוי</w:t>
          </w:r>
          <w:r>
            <w:rPr>
              <w:rtl/>
            </w:rPr>
            <w:t xml:space="preserve"> </w:t>
          </w:r>
          <w:r>
            <w:ptab w:relativeTo="margin" w:alignment="right" w:leader="dot"/>
          </w:r>
          <w:r w:rsidR="007F60E2">
            <w:rPr>
              <w:rFonts w:hint="cs"/>
              <w:rtl/>
              <w:cs/>
              <w:lang w:val="he-IL"/>
            </w:rPr>
            <w:t>50</w:t>
          </w:r>
        </w:p>
        <w:p w:rsidR="004F692C" w:rsidRPr="004F692C" w:rsidRDefault="004F692C" w:rsidP="00BB301E">
          <w:pPr>
            <w:rPr>
              <w:rtl/>
            </w:rPr>
          </w:pPr>
        </w:p>
        <w:p w:rsidR="004F692C" w:rsidRDefault="004F692C" w:rsidP="00BB301E">
          <w:pPr>
            <w:pStyle w:val="TOC3"/>
            <w:numPr>
              <w:ilvl w:val="0"/>
              <w:numId w:val="60"/>
            </w:numPr>
            <w:jc w:val="left"/>
            <w:rPr>
              <w:rtl/>
            </w:rPr>
          </w:pPr>
          <w:r>
            <w:rPr>
              <w:rFonts w:hint="cs"/>
              <w:rtl/>
            </w:rPr>
            <w:t>הכנסת עבודה</w:t>
          </w:r>
          <w:r>
            <w:ptab w:relativeTo="margin" w:alignment="right" w:leader="dot"/>
          </w:r>
          <w:r w:rsidR="007F60E2">
            <w:rPr>
              <w:rFonts w:hint="cs"/>
              <w:rtl/>
              <w:cs/>
              <w:lang w:val="he-IL"/>
            </w:rPr>
            <w:t>50</w:t>
          </w:r>
        </w:p>
        <w:p w:rsidR="001B5E00" w:rsidRDefault="001B5E00" w:rsidP="00BB301E">
          <w:pPr>
            <w:bidi/>
            <w:jc w:val="both"/>
            <w:rPr>
              <w:rtl/>
              <w:lang w:val="he-IL"/>
            </w:rPr>
          </w:pPr>
        </w:p>
        <w:p w:rsidR="00BB301E" w:rsidRPr="001B5E00" w:rsidRDefault="00BB301E" w:rsidP="00BB301E">
          <w:pPr>
            <w:bidi/>
            <w:jc w:val="both"/>
            <w:rPr>
              <w:rtl/>
              <w:cs/>
              <w:lang w:val="he-IL"/>
            </w:rPr>
          </w:pPr>
        </w:p>
        <w:p w:rsidR="0011570B" w:rsidRDefault="00BB3D2E" w:rsidP="00BB301E">
          <w:pPr>
            <w:pStyle w:val="TOC1"/>
            <w:jc w:val="both"/>
            <w:rPr>
              <w:rtl/>
              <w:cs/>
              <w:lang w:val="he-IL"/>
            </w:rPr>
          </w:pPr>
          <w:r w:rsidRPr="00AC35C6">
            <w:rPr>
              <w:rFonts w:hint="cs"/>
              <w:rtl/>
            </w:rPr>
            <w:t>חלק שני: משפט עבודה קיבוצי</w:t>
          </w:r>
          <w:r>
            <w:rPr>
              <w:b w:val="0"/>
              <w:bCs w:val="0"/>
              <w:rtl/>
            </w:rPr>
            <w:t xml:space="preserve"> </w:t>
          </w:r>
          <w:r w:rsidR="0011570B">
            <w:ptab w:relativeTo="margin" w:alignment="right" w:leader="dot"/>
          </w:r>
          <w:r w:rsidR="00BC3E4B">
            <w:rPr>
              <w:rFonts w:hint="cs"/>
              <w:rtl/>
              <w:cs/>
              <w:lang w:val="he-IL"/>
            </w:rPr>
            <w:t>53</w:t>
          </w:r>
        </w:p>
        <w:p w:rsidR="000A68A1" w:rsidRPr="000A68A1" w:rsidRDefault="000A68A1" w:rsidP="00BB301E">
          <w:pPr>
            <w:rPr>
              <w:rtl/>
              <w:cs/>
            </w:rPr>
          </w:pPr>
        </w:p>
        <w:p w:rsidR="0011570B" w:rsidRDefault="000A68A1" w:rsidP="00BB301E">
          <w:pPr>
            <w:pStyle w:val="TOC2"/>
            <w:numPr>
              <w:ilvl w:val="0"/>
              <w:numId w:val="61"/>
            </w:numPr>
            <w:jc w:val="both"/>
            <w:rPr>
              <w:rtl/>
              <w:cs/>
              <w:lang w:val="he-IL"/>
            </w:rPr>
          </w:pPr>
          <w:r>
            <w:rPr>
              <w:rFonts w:hint="cs"/>
              <w:rtl/>
            </w:rPr>
            <w:t>הסכמים/ הסדרים קיבוציים</w:t>
          </w:r>
          <w:r w:rsidR="0011570B">
            <w:ptab w:relativeTo="margin" w:alignment="right" w:leader="dot"/>
          </w:r>
          <w:r w:rsidR="00BC3E4B">
            <w:rPr>
              <w:rFonts w:hint="cs"/>
              <w:rtl/>
              <w:cs/>
              <w:lang w:val="he-IL"/>
            </w:rPr>
            <w:t>53</w:t>
          </w:r>
        </w:p>
        <w:p w:rsidR="000A68A1" w:rsidRDefault="000A68A1" w:rsidP="00BB301E"/>
        <w:p w:rsidR="000A68A1" w:rsidRDefault="000A68A1" w:rsidP="00BB301E">
          <w:pPr>
            <w:pStyle w:val="TOC2"/>
            <w:numPr>
              <w:ilvl w:val="0"/>
              <w:numId w:val="61"/>
            </w:numPr>
            <w:jc w:val="both"/>
            <w:rPr>
              <w:rtl/>
              <w:cs/>
              <w:lang w:val="he-IL"/>
            </w:rPr>
          </w:pPr>
          <w:r>
            <w:rPr>
              <w:rFonts w:hint="cs"/>
              <w:rtl/>
            </w:rPr>
            <w:t>משפט עבודה ארגוני</w:t>
          </w:r>
          <w:r>
            <w:ptab w:relativeTo="margin" w:alignment="right" w:leader="dot"/>
          </w:r>
          <w:r w:rsidR="00BC3E4B">
            <w:rPr>
              <w:rFonts w:hint="cs"/>
              <w:rtl/>
              <w:cs/>
              <w:lang w:val="he-IL"/>
            </w:rPr>
            <w:t>53</w:t>
          </w:r>
        </w:p>
        <w:p w:rsidR="000A68A1" w:rsidRPr="00BB301E" w:rsidRDefault="000A68A1" w:rsidP="00BB301E">
          <w:pPr>
            <w:rPr>
              <w:rtl/>
            </w:rPr>
          </w:pPr>
        </w:p>
        <w:p w:rsidR="000A68A1" w:rsidRDefault="000A68A1" w:rsidP="00BB301E">
          <w:pPr>
            <w:pStyle w:val="TOC2"/>
            <w:numPr>
              <w:ilvl w:val="0"/>
              <w:numId w:val="61"/>
            </w:numPr>
            <w:jc w:val="both"/>
            <w:rPr>
              <w:rtl/>
              <w:cs/>
              <w:lang w:val="he-IL"/>
            </w:rPr>
          </w:pPr>
          <w:r>
            <w:rPr>
              <w:rFonts w:hint="cs"/>
              <w:rtl/>
            </w:rPr>
            <w:t>דיני שביתות</w:t>
          </w:r>
          <w:r>
            <w:ptab w:relativeTo="margin" w:alignment="right" w:leader="dot"/>
          </w:r>
          <w:r w:rsidR="00BC3E4B">
            <w:rPr>
              <w:rFonts w:hint="cs"/>
              <w:rtl/>
              <w:cs/>
              <w:lang w:val="he-IL"/>
            </w:rPr>
            <w:t>59</w:t>
          </w:r>
        </w:p>
        <w:p w:rsidR="000A68A1" w:rsidRPr="00BB301E" w:rsidRDefault="000A68A1" w:rsidP="00BB301E">
          <w:pPr>
            <w:rPr>
              <w:rtl/>
              <w:cs/>
            </w:rPr>
          </w:pPr>
        </w:p>
        <w:p w:rsidR="000A68A1" w:rsidRDefault="000A68A1" w:rsidP="00BB301E">
          <w:pPr>
            <w:pStyle w:val="TOC3"/>
            <w:numPr>
              <w:ilvl w:val="0"/>
              <w:numId w:val="62"/>
            </w:numPr>
            <w:rPr>
              <w:rtl/>
              <w:cs/>
              <w:lang w:val="he-IL"/>
            </w:rPr>
          </w:pPr>
          <w:r>
            <w:rPr>
              <w:rFonts w:hint="cs"/>
              <w:rtl/>
            </w:rPr>
            <w:t>הגבלת זכות השביתה</w:t>
          </w:r>
          <w:r w:rsidR="0011570B">
            <w:ptab w:relativeTo="margin" w:alignment="right" w:leader="dot"/>
          </w:r>
          <w:r w:rsidR="00BC3E4B">
            <w:rPr>
              <w:rFonts w:hint="cs"/>
              <w:rtl/>
              <w:cs/>
              <w:lang w:val="he-IL"/>
            </w:rPr>
            <w:t>59</w:t>
          </w:r>
        </w:p>
        <w:p w:rsidR="000A68A1" w:rsidRDefault="000A68A1" w:rsidP="00BB301E">
          <w:pPr>
            <w:pStyle w:val="TOC3"/>
            <w:numPr>
              <w:ilvl w:val="0"/>
              <w:numId w:val="62"/>
            </w:numPr>
            <w:rPr>
              <w:rtl/>
              <w:cs/>
              <w:lang w:val="he-IL"/>
            </w:rPr>
          </w:pPr>
          <w:r>
            <w:rPr>
              <w:rFonts w:hint="cs"/>
              <w:rtl/>
            </w:rPr>
            <w:t>תשלום שכר בזמן שביתה</w:t>
          </w:r>
          <w:r>
            <w:ptab w:relativeTo="margin" w:alignment="right" w:leader="dot"/>
          </w:r>
          <w:r w:rsidR="00BC3E4B">
            <w:rPr>
              <w:rFonts w:hint="cs"/>
              <w:rtl/>
              <w:cs/>
              <w:lang w:val="he-IL"/>
            </w:rPr>
            <w:t>60</w:t>
          </w:r>
        </w:p>
        <w:p w:rsidR="00C702E1" w:rsidRDefault="00C702E1" w:rsidP="00BB301E">
          <w:pPr>
            <w:pStyle w:val="TOC1"/>
            <w:jc w:val="both"/>
            <w:rPr>
              <w:rtl/>
            </w:rPr>
          </w:pPr>
        </w:p>
        <w:p w:rsidR="00BB301E" w:rsidRPr="00BB301E" w:rsidRDefault="00BB301E" w:rsidP="00BB301E">
          <w:pPr>
            <w:rPr>
              <w:rtl/>
            </w:rPr>
          </w:pPr>
        </w:p>
        <w:p w:rsidR="00C702E1" w:rsidRDefault="00B45B66" w:rsidP="00BB301E">
          <w:pPr>
            <w:pStyle w:val="TOC1"/>
            <w:jc w:val="both"/>
            <w:rPr>
              <w:rtl/>
              <w:cs/>
              <w:lang w:val="he-IL"/>
            </w:rPr>
          </w:pPr>
          <w:r>
            <w:rPr>
              <w:rFonts w:hint="cs"/>
              <w:rtl/>
            </w:rPr>
            <w:t xml:space="preserve">חלק שלישי: </w:t>
          </w:r>
          <w:r w:rsidR="00C702E1">
            <w:rPr>
              <w:rFonts w:hint="cs"/>
              <w:rtl/>
            </w:rPr>
            <w:t>תיקוני חקיקה</w:t>
          </w:r>
          <w:r w:rsidR="00C702E1">
            <w:ptab w:relativeTo="margin" w:alignment="right" w:leader="dot"/>
          </w:r>
          <w:r w:rsidR="00BC3E4B">
            <w:rPr>
              <w:rFonts w:hint="cs"/>
              <w:rtl/>
              <w:cs/>
              <w:lang w:val="he-IL"/>
            </w:rPr>
            <w:t>61</w:t>
          </w:r>
        </w:p>
        <w:p w:rsidR="00C702E1" w:rsidRPr="000A68A1" w:rsidRDefault="00C702E1" w:rsidP="00BB301E">
          <w:pPr>
            <w:rPr>
              <w:rtl/>
              <w:cs/>
            </w:rPr>
          </w:pPr>
        </w:p>
        <w:p w:rsidR="00C702E1" w:rsidRPr="00F845EA" w:rsidRDefault="00C702E1" w:rsidP="00BB301E">
          <w:pPr>
            <w:rPr>
              <w:rtl/>
              <w:cs/>
            </w:rPr>
          </w:pPr>
        </w:p>
        <w:p w:rsidR="000A68A1" w:rsidRPr="000A68A1" w:rsidRDefault="000A68A1" w:rsidP="00BB301E">
          <w:pPr>
            <w:rPr>
              <w:rtl/>
              <w:cs/>
              <w:lang w:val="he-IL"/>
            </w:rPr>
          </w:pPr>
        </w:p>
        <w:p w:rsidR="0011570B" w:rsidRPr="005A7CFB" w:rsidRDefault="006D1F2B" w:rsidP="000A68A1"/>
      </w:sdtContent>
    </w:sdt>
    <w:p w:rsidR="000215C8" w:rsidRDefault="000215C8" w:rsidP="000215C8">
      <w:pPr>
        <w:pStyle w:val="18"/>
        <w:bidi/>
        <w:ind w:left="0" w:firstLine="0"/>
        <w:rPr>
          <w:rtl/>
        </w:rPr>
      </w:pPr>
      <w:bookmarkStart w:id="1" w:name="_Toc383587797"/>
      <w:bookmarkEnd w:id="0"/>
    </w:p>
    <w:p w:rsidR="0028013E" w:rsidRDefault="0028013E" w:rsidP="0028013E">
      <w:pPr>
        <w:pStyle w:val="16"/>
        <w:rPr>
          <w:rtl/>
        </w:rPr>
      </w:pPr>
    </w:p>
    <w:p w:rsidR="00B45B66" w:rsidRDefault="00B45B66" w:rsidP="0028013E">
      <w:pPr>
        <w:pStyle w:val="16"/>
        <w:rPr>
          <w:rtl/>
        </w:rPr>
      </w:pPr>
    </w:p>
    <w:p w:rsidR="00B45B66" w:rsidRDefault="00B45B66" w:rsidP="0028013E">
      <w:pPr>
        <w:pStyle w:val="16"/>
        <w:rPr>
          <w:rtl/>
        </w:rPr>
      </w:pPr>
    </w:p>
    <w:p w:rsidR="000118BE" w:rsidRPr="00BD3500" w:rsidRDefault="000118BE" w:rsidP="000215C8">
      <w:pPr>
        <w:pStyle w:val="18"/>
        <w:bidi/>
        <w:ind w:left="0" w:firstLine="0"/>
        <w:rPr>
          <w:color w:val="0000FF"/>
          <w:rtl/>
        </w:rPr>
      </w:pPr>
      <w:r w:rsidRPr="00BD3500">
        <w:rPr>
          <w:rFonts w:hint="cs"/>
          <w:color w:val="0000FF"/>
          <w:rtl/>
        </w:rPr>
        <w:lastRenderedPageBreak/>
        <w:t>חלק ראשון: משפט עבודה אינדיווידואלי</w:t>
      </w:r>
      <w:bookmarkEnd w:id="1"/>
    </w:p>
    <w:p w:rsidR="000118BE" w:rsidRPr="000118BE" w:rsidRDefault="000118BE" w:rsidP="000118BE">
      <w:pPr>
        <w:bidi/>
        <w:jc w:val="both"/>
        <w:outlineLvl w:val="1"/>
        <w:rPr>
          <w:rFonts w:ascii="David" w:hAnsi="David" w:cs="Narkisim"/>
          <w:b/>
          <w:bCs/>
          <w:i/>
          <w:iCs/>
          <w:sz w:val="42"/>
          <w:szCs w:val="36"/>
          <w:u w:val="single"/>
          <w:rtl/>
          <w14:shadow w14:blurRad="50800" w14:dist="38100" w14:dir="2700000" w14:sx="100000" w14:sy="100000" w14:kx="0" w14:ky="0" w14:algn="tl">
            <w14:srgbClr w14:val="000000">
              <w14:alpha w14:val="60000"/>
            </w14:srgbClr>
          </w14:shadow>
        </w:rPr>
      </w:pPr>
      <w:r w:rsidRPr="000118BE">
        <w:rPr>
          <w:rFonts w:ascii="David" w:hAnsi="David" w:cs="Narkisim"/>
          <w:b/>
          <w:bCs/>
          <w:i/>
          <w:iCs/>
          <w:sz w:val="42"/>
          <w:szCs w:val="36"/>
          <w:u w:val="single"/>
          <w:rtl/>
          <w14:shadow w14:blurRad="50800" w14:dist="38100" w14:dir="2700000" w14:sx="100000" w14:sy="100000" w14:kx="0" w14:ky="0" w14:algn="tl">
            <w14:srgbClr w14:val="000000">
              <w14:alpha w14:val="60000"/>
            </w14:srgbClr>
          </w14:shadow>
        </w:rPr>
        <w:fldChar w:fldCharType="begin"/>
      </w:r>
      <w:r>
        <w:instrText xml:space="preserve"> TC "</w:instrText>
      </w:r>
      <w:bookmarkStart w:id="2" w:name="_Toc228527263"/>
      <w:bookmarkStart w:id="3" w:name="_Toc228527439"/>
      <w:bookmarkStart w:id="4" w:name="_Toc228527502"/>
      <w:bookmarkStart w:id="5" w:name="_Toc228527620"/>
      <w:bookmarkStart w:id="6" w:name="_Toc228527715"/>
      <w:bookmarkStart w:id="7" w:name="_Toc228528511"/>
      <w:r w:rsidRPr="000118BE">
        <w:rPr>
          <w:rFonts w:ascii="David" w:hAnsi="David" w:cs="Narkisim" w:hint="cs"/>
          <w:b/>
          <w:bCs/>
          <w:i/>
          <w:iCs/>
          <w:sz w:val="42"/>
          <w:szCs w:val="36"/>
          <w:u w:val="single"/>
          <w:rtl/>
          <w14:shadow w14:blurRad="50800" w14:dist="38100" w14:dir="2700000" w14:sx="100000" w14:sy="100000" w14:kx="0" w14:ky="0" w14:algn="tl">
            <w14:srgbClr w14:val="000000">
              <w14:alpha w14:val="60000"/>
            </w14:srgbClr>
          </w14:shadow>
        </w:rPr>
        <w:instrText>חלק ראשון: משפט עבודה אינדיווידואלי</w:instrText>
      </w:r>
      <w:bookmarkEnd w:id="2"/>
      <w:bookmarkEnd w:id="3"/>
      <w:bookmarkEnd w:id="4"/>
      <w:bookmarkEnd w:id="5"/>
      <w:bookmarkEnd w:id="6"/>
      <w:bookmarkEnd w:id="7"/>
      <w:r>
        <w:instrText xml:space="preserve">" \f C \l "1" </w:instrText>
      </w:r>
      <w:r w:rsidRPr="000118BE">
        <w:rPr>
          <w:rFonts w:ascii="David" w:hAnsi="David" w:cs="Narkisim"/>
          <w:b/>
          <w:bCs/>
          <w:i/>
          <w:iCs/>
          <w:sz w:val="42"/>
          <w:szCs w:val="36"/>
          <w:u w:val="single"/>
          <w:rtl/>
          <w14:shadow w14:blurRad="50800" w14:dist="38100" w14:dir="2700000" w14:sx="100000" w14:sy="100000" w14:kx="0" w14:ky="0" w14:algn="tl">
            <w14:srgbClr w14:val="000000">
              <w14:alpha w14:val="60000"/>
            </w14:srgbClr>
          </w14:shadow>
        </w:rPr>
        <w:fldChar w:fldCharType="end"/>
      </w:r>
    </w:p>
    <w:p w:rsidR="000118BE" w:rsidRPr="00BD3500" w:rsidRDefault="000118BE" w:rsidP="00A8553B">
      <w:pPr>
        <w:pStyle w:val="29"/>
        <w:spacing w:line="360" w:lineRule="auto"/>
        <w:rPr>
          <w:color w:val="0000FF"/>
        </w:rPr>
      </w:pPr>
      <w:bookmarkStart w:id="8" w:name="_Toc228152663"/>
      <w:bookmarkStart w:id="9" w:name="_Toc383530613"/>
      <w:bookmarkStart w:id="10" w:name="_Toc383587151"/>
      <w:bookmarkStart w:id="11" w:name="_Toc383587356"/>
      <w:bookmarkStart w:id="12" w:name="_Toc383587798"/>
      <w:r w:rsidRPr="00BD3500">
        <w:rPr>
          <w:rFonts w:hint="cs"/>
          <w:color w:val="0000FF"/>
          <w:rtl/>
        </w:rPr>
        <w:t>עובד ומעביד</w:t>
      </w:r>
      <w:bookmarkEnd w:id="8"/>
      <w:bookmarkEnd w:id="9"/>
      <w:bookmarkEnd w:id="10"/>
      <w:bookmarkEnd w:id="11"/>
      <w:bookmarkEnd w:id="12"/>
    </w:p>
    <w:p w:rsidR="000118BE" w:rsidRDefault="000118BE" w:rsidP="00A8553B">
      <w:pPr>
        <w:numPr>
          <w:ilvl w:val="0"/>
          <w:numId w:val="4"/>
        </w:numPr>
        <w:bidi/>
        <w:spacing w:line="360" w:lineRule="auto"/>
        <w:jc w:val="both"/>
        <w:outlineLvl w:val="2"/>
        <w:rPr>
          <w:rFonts w:ascii="David" w:hAnsi="David"/>
          <w:b/>
          <w:bCs/>
          <w:color w:val="FF0000"/>
          <w:sz w:val="32"/>
          <w:szCs w:val="26"/>
          <w:u w:val="single"/>
        </w:rPr>
      </w:pPr>
      <w:bookmarkStart w:id="13" w:name="_Toc383530614"/>
      <w:bookmarkStart w:id="14" w:name="_Toc383587152"/>
      <w:bookmarkStart w:id="15" w:name="_Toc383587357"/>
      <w:bookmarkStart w:id="16" w:name="_Toc383587799"/>
      <w:bookmarkStart w:id="17" w:name="_Toc228152666"/>
      <w:r>
        <w:rPr>
          <w:rFonts w:ascii="David" w:hAnsi="David" w:hint="cs"/>
          <w:b/>
          <w:bCs/>
          <w:color w:val="FF0000"/>
          <w:sz w:val="32"/>
          <w:szCs w:val="26"/>
          <w:u w:val="single"/>
          <w:rtl/>
        </w:rPr>
        <w:t>מבחנים</w:t>
      </w:r>
      <w:bookmarkEnd w:id="13"/>
      <w:bookmarkEnd w:id="14"/>
      <w:bookmarkEnd w:id="15"/>
      <w:bookmarkEnd w:id="16"/>
    </w:p>
    <w:p w:rsidR="000118BE" w:rsidRDefault="000118BE" w:rsidP="00A8553B">
      <w:pPr>
        <w:bidi/>
        <w:spacing w:line="360" w:lineRule="auto"/>
        <w:ind w:left="360"/>
        <w:jc w:val="both"/>
        <w:outlineLvl w:val="2"/>
        <w:rPr>
          <w:rFonts w:ascii="David" w:hAnsi="David"/>
          <w:b/>
          <w:bCs/>
          <w:color w:val="FF0000"/>
          <w:sz w:val="32"/>
          <w:szCs w:val="26"/>
          <w:u w:val="single"/>
        </w:rPr>
      </w:pPr>
    </w:p>
    <w:p w:rsidR="000118BE" w:rsidRPr="00BD3500" w:rsidRDefault="000118BE" w:rsidP="00A910C6">
      <w:pPr>
        <w:numPr>
          <w:ilvl w:val="0"/>
          <w:numId w:val="11"/>
        </w:numPr>
        <w:tabs>
          <w:tab w:val="clear" w:pos="720"/>
          <w:tab w:val="left" w:pos="-334"/>
          <w:tab w:val="num" w:pos="44"/>
        </w:tabs>
        <w:bidi/>
        <w:ind w:left="584" w:hanging="540"/>
        <w:jc w:val="both"/>
        <w:rPr>
          <w:rFonts w:ascii="Arial" w:hAnsi="Arial"/>
          <w:b/>
          <w:bCs/>
          <w:color w:val="0000FF"/>
          <w:sz w:val="24"/>
          <w:u w:val="single"/>
          <w:rtl/>
        </w:rPr>
      </w:pPr>
      <w:r w:rsidRPr="00BD3500">
        <w:rPr>
          <w:rFonts w:ascii="Arial" w:hAnsi="Arial" w:hint="cs"/>
          <w:b/>
          <w:bCs/>
          <w:color w:val="0000FF"/>
          <w:sz w:val="24"/>
          <w:u w:val="single"/>
          <w:rtl/>
        </w:rPr>
        <w:t>נדחתה תביעת מתמחה מתלמדת להכרה ביחסי עובד ומעביד</w:t>
      </w:r>
    </w:p>
    <w:p w:rsidR="000118BE" w:rsidRPr="00F66D1B" w:rsidRDefault="000118BE" w:rsidP="00A8553B">
      <w:pPr>
        <w:tabs>
          <w:tab w:val="left" w:pos="-110"/>
        </w:tabs>
        <w:spacing w:line="360" w:lineRule="auto"/>
        <w:ind w:left="48" w:right="-180"/>
        <w:jc w:val="both"/>
        <w:rPr>
          <w:rFonts w:ascii="Arial" w:hAnsi="Arial"/>
          <w:b/>
          <w:bCs/>
          <w:color w:val="000080"/>
          <w:sz w:val="28"/>
          <w:szCs w:val="32"/>
          <w:u w:val="single"/>
          <w:rtl/>
        </w:rPr>
      </w:pPr>
    </w:p>
    <w:p w:rsidR="000118BE" w:rsidRPr="002A4995" w:rsidRDefault="000118BE" w:rsidP="00DD1BC4">
      <w:pPr>
        <w:tabs>
          <w:tab w:val="left" w:pos="-110"/>
        </w:tabs>
        <w:bidi/>
        <w:spacing w:line="360" w:lineRule="auto"/>
        <w:ind w:left="-115"/>
        <w:jc w:val="both"/>
        <w:rPr>
          <w:b/>
          <w:bCs/>
          <w:sz w:val="24"/>
          <w:rtl/>
        </w:rPr>
      </w:pPr>
      <w:r w:rsidRPr="002A4995">
        <w:rPr>
          <w:rFonts w:hint="cs"/>
          <w:b/>
          <w:bCs/>
          <w:sz w:val="24"/>
          <w:rtl/>
        </w:rPr>
        <w:t>בית הדין האזורי לעבודה דחה תביעתה של מתמחה לרפואת שיניים, אשר ביצעה התמחות לשם רכישת מומחיות, נוסף על הרישיון לעסוק ברפואת שיניים, בהכרה ביחסי עובד ומעביד ולקבלת שכר עבודה וזכויות סוציאליות.</w:t>
      </w:r>
    </w:p>
    <w:p w:rsidR="000118BE" w:rsidRPr="002A4995" w:rsidRDefault="000118BE" w:rsidP="00DD1BC4">
      <w:pPr>
        <w:tabs>
          <w:tab w:val="left" w:pos="-110"/>
        </w:tabs>
        <w:bidi/>
        <w:spacing w:line="360" w:lineRule="auto"/>
        <w:ind w:left="-115"/>
        <w:jc w:val="both"/>
        <w:rPr>
          <w:b/>
          <w:bCs/>
          <w:sz w:val="24"/>
          <w:rtl/>
        </w:rPr>
      </w:pPr>
      <w:r w:rsidRPr="002A4995">
        <w:rPr>
          <w:rFonts w:hint="cs"/>
          <w:b/>
          <w:bCs/>
          <w:sz w:val="24"/>
          <w:rtl/>
        </w:rPr>
        <w:t>תקופת התמחותה הכוללת של התובעת בביה"ח הדסה ארכה למעלה מחמש שנים, במהלכן ילדה ושהתה כשנה בחופשות לידה וביצעה גם דוקטורט שבגינו נעדרה מספר ימים בשבוע.</w:t>
      </w:r>
    </w:p>
    <w:p w:rsidR="000118BE" w:rsidRPr="002A4995" w:rsidRDefault="000118BE" w:rsidP="00DD1BC4">
      <w:pPr>
        <w:tabs>
          <w:tab w:val="left" w:pos="-110"/>
        </w:tabs>
        <w:bidi/>
        <w:spacing w:line="360" w:lineRule="auto"/>
        <w:ind w:left="-115"/>
        <w:jc w:val="both"/>
        <w:rPr>
          <w:b/>
          <w:bCs/>
          <w:sz w:val="24"/>
          <w:rtl/>
        </w:rPr>
      </w:pPr>
      <w:r w:rsidRPr="002A4995">
        <w:rPr>
          <w:rFonts w:hint="cs"/>
          <w:b/>
          <w:bCs/>
          <w:sz w:val="24"/>
          <w:rtl/>
        </w:rPr>
        <w:t>אמנם, נקבע זה מכבר בפסיקה כי מתמחה ברפואה רגילה הינו במעמד של עובד, אולם מעמד זה יש לקבוע על פי נסיבות כל מקרה כהווייתן. המבחנים המסייעים בבחינת שאלת היות ההתמחות בגדר הכשרה לימודית או עבודה בפועל הם: מטרת ההתקשרות (האם מטרתה ליצור יחסי עובד ומעביד?), אופייה של ההכשרה (האם דומה הוא להכשרה המועברת במסגרת לימודית או להכשרה במסגרת יחסי עובד ומעביד?), משך ההכשרה והיקף השעות (האם מאפשר לעבוד במקביל?)|, רווח המעסיק מההכשרה וכוונת הצדדים.</w:t>
      </w:r>
    </w:p>
    <w:p w:rsidR="000118BE" w:rsidRPr="002A4995" w:rsidRDefault="000118BE" w:rsidP="00DD1BC4">
      <w:pPr>
        <w:tabs>
          <w:tab w:val="left" w:pos="-110"/>
        </w:tabs>
        <w:bidi/>
        <w:spacing w:line="360" w:lineRule="auto"/>
        <w:ind w:left="-115"/>
        <w:jc w:val="both"/>
        <w:rPr>
          <w:b/>
          <w:bCs/>
          <w:sz w:val="24"/>
          <w:rtl/>
        </w:rPr>
      </w:pPr>
      <w:r w:rsidRPr="002A4995">
        <w:rPr>
          <w:rFonts w:hint="cs"/>
          <w:b/>
          <w:bCs/>
          <w:sz w:val="24"/>
          <w:rtl/>
        </w:rPr>
        <w:t>בענייננו, נקבע כי מטרת ההתקשרות היתה התמחות נוספת שאינה התמחות חובה אלא השלמה במקצוע שכבר נרכש, כוונת הצדדים היתה התמחות, אופייה של ההתמחות היתה פעילות לימודית שכללה גם פעילות קלינית מעשית, הפיקוח הצמוד היה בהיבטי ההתמחות, לתובעת לא הובאה מחליפה בתקופות היעדרותה הממושכות, תשלום דמי ביטוח לאומי בתקופת ההתמחות אין בהם כדי ללמד על קיום יחסי עבודה, התובעת עבדה בעבודות פרטיות במקביל להתמחות ושעות ההתמחות היו גמישות.</w:t>
      </w:r>
    </w:p>
    <w:p w:rsidR="000118BE" w:rsidRPr="002A4995" w:rsidRDefault="000118BE" w:rsidP="00DD1BC4">
      <w:pPr>
        <w:tabs>
          <w:tab w:val="left" w:pos="-110"/>
        </w:tabs>
        <w:bidi/>
        <w:spacing w:line="360" w:lineRule="auto"/>
        <w:ind w:left="-115"/>
        <w:jc w:val="both"/>
        <w:rPr>
          <w:b/>
          <w:bCs/>
          <w:sz w:val="24"/>
          <w:rtl/>
        </w:rPr>
      </w:pPr>
      <w:r w:rsidRPr="002A4995">
        <w:rPr>
          <w:rFonts w:hint="cs"/>
          <w:b/>
          <w:bCs/>
          <w:sz w:val="24"/>
          <w:rtl/>
        </w:rPr>
        <w:t>לאור כל אלה, בית הדין קבע כי התובעת לא היתה בגדר עובדת בהתמחותה בהדסה והתביעה נדחתה.</w:t>
      </w:r>
    </w:p>
    <w:p w:rsidR="000118BE" w:rsidRPr="002A4995" w:rsidRDefault="000118BE" w:rsidP="00DD1BC4">
      <w:pPr>
        <w:tabs>
          <w:tab w:val="left" w:pos="-334"/>
        </w:tabs>
        <w:bidi/>
        <w:spacing w:line="360" w:lineRule="auto"/>
        <w:ind w:left="-110"/>
        <w:jc w:val="both"/>
        <w:rPr>
          <w:sz w:val="22"/>
          <w:szCs w:val="22"/>
          <w:rtl/>
        </w:rPr>
      </w:pPr>
      <w:r w:rsidRPr="002A4995">
        <w:rPr>
          <w:rFonts w:hint="cs"/>
          <w:sz w:val="22"/>
          <w:szCs w:val="22"/>
          <w:rtl/>
        </w:rPr>
        <w:t>תע"א 1985-09</w:t>
      </w:r>
      <w:r w:rsidRPr="002A4995">
        <w:rPr>
          <w:b/>
          <w:bCs/>
          <w:sz w:val="22"/>
          <w:szCs w:val="22"/>
          <w:rtl/>
        </w:rPr>
        <w:t xml:space="preserve"> </w:t>
      </w:r>
      <w:r w:rsidRPr="00FA0CEB">
        <w:rPr>
          <w:rFonts w:ascii="Arial" w:hAnsi="Arial" w:cs="Arial"/>
          <w:color w:val="FF0000"/>
          <w:sz w:val="22"/>
          <w:szCs w:val="22"/>
        </w:rPr>
        <w:t>●</w:t>
      </w:r>
      <w:r w:rsidRPr="002A4995">
        <w:rPr>
          <w:rFonts w:hint="cs"/>
          <w:b/>
          <w:bCs/>
          <w:sz w:val="22"/>
          <w:szCs w:val="22"/>
          <w:rtl/>
        </w:rPr>
        <w:t xml:space="preserve"> </w:t>
      </w:r>
      <w:r w:rsidRPr="00872BA5">
        <w:rPr>
          <w:rFonts w:hint="cs"/>
          <w:b/>
          <w:bCs/>
          <w:color w:val="FF0000"/>
          <w:sz w:val="22"/>
          <w:szCs w:val="22"/>
          <w:rtl/>
        </w:rPr>
        <w:t xml:space="preserve">ד"ר אילון שרון </w:t>
      </w:r>
      <w:r w:rsidRPr="00872BA5">
        <w:rPr>
          <w:b/>
          <w:bCs/>
          <w:color w:val="FF0000"/>
          <w:sz w:val="22"/>
          <w:szCs w:val="22"/>
          <w:rtl/>
        </w:rPr>
        <w:t>–</w:t>
      </w:r>
      <w:r w:rsidRPr="00872BA5">
        <w:rPr>
          <w:rFonts w:hint="cs"/>
          <w:b/>
          <w:bCs/>
          <w:color w:val="FF0000"/>
          <w:sz w:val="22"/>
          <w:szCs w:val="22"/>
          <w:rtl/>
        </w:rPr>
        <w:t xml:space="preserve"> הסתדרות מדיצינית הדסה</w:t>
      </w:r>
      <w:r w:rsidRPr="00872BA5">
        <w:rPr>
          <w:rFonts w:hint="cs"/>
          <w:color w:val="FF0000"/>
          <w:sz w:val="22"/>
          <w:szCs w:val="22"/>
          <w:rtl/>
        </w:rPr>
        <w:t xml:space="preserve"> </w:t>
      </w:r>
      <w:r w:rsidRPr="002A4995">
        <w:rPr>
          <w:rFonts w:hint="cs"/>
          <w:sz w:val="22"/>
          <w:szCs w:val="22"/>
          <w:rtl/>
        </w:rPr>
        <w:t xml:space="preserve">(6.10.13) </w:t>
      </w:r>
      <w:r w:rsidRPr="002A4995">
        <w:rPr>
          <w:sz w:val="22"/>
          <w:szCs w:val="22"/>
        </w:rPr>
        <w:t xml:space="preserve"> </w:t>
      </w:r>
      <w:r w:rsidRPr="00FA0CEB">
        <w:rPr>
          <w:rFonts w:ascii="Arial" w:hAnsi="Arial" w:cs="Arial"/>
          <w:color w:val="FF0000"/>
          <w:sz w:val="22"/>
          <w:szCs w:val="22"/>
        </w:rPr>
        <w:t>●</w:t>
      </w:r>
      <w:r w:rsidRPr="002A4995">
        <w:rPr>
          <w:rFonts w:hint="cs"/>
          <w:sz w:val="22"/>
          <w:szCs w:val="22"/>
          <w:rtl/>
        </w:rPr>
        <w:t>בפני כבוד השופט סגן הנשיאה אייל אברהמי, נ.ע. גב' טובה לוי, נ.מ. מר יוסי גרנות.</w:t>
      </w:r>
    </w:p>
    <w:p w:rsidR="000118BE" w:rsidRDefault="000118BE" w:rsidP="00A8553B">
      <w:pPr>
        <w:bidi/>
        <w:spacing w:line="360" w:lineRule="auto"/>
        <w:jc w:val="both"/>
        <w:outlineLvl w:val="2"/>
        <w:rPr>
          <w:rFonts w:ascii="David" w:hAnsi="David"/>
          <w:b/>
          <w:bCs/>
          <w:color w:val="FF0000"/>
          <w:sz w:val="32"/>
          <w:szCs w:val="26"/>
          <w:u w:val="single"/>
          <w:rtl/>
        </w:rPr>
      </w:pPr>
    </w:p>
    <w:p w:rsidR="005A7CFB" w:rsidRDefault="005A7CFB" w:rsidP="005A7CFB">
      <w:pPr>
        <w:bidi/>
        <w:spacing w:line="360" w:lineRule="auto"/>
        <w:jc w:val="both"/>
        <w:outlineLvl w:val="2"/>
        <w:rPr>
          <w:rFonts w:ascii="David" w:hAnsi="David"/>
          <w:b/>
          <w:bCs/>
          <w:color w:val="FF0000"/>
          <w:sz w:val="32"/>
          <w:szCs w:val="26"/>
          <w:u w:val="single"/>
          <w:rtl/>
        </w:rPr>
      </w:pPr>
    </w:p>
    <w:p w:rsidR="0028013E" w:rsidRDefault="0028013E" w:rsidP="0028013E">
      <w:pPr>
        <w:bidi/>
        <w:spacing w:line="360" w:lineRule="auto"/>
        <w:jc w:val="both"/>
        <w:outlineLvl w:val="2"/>
        <w:rPr>
          <w:rFonts w:ascii="David" w:hAnsi="David"/>
          <w:b/>
          <w:bCs/>
          <w:color w:val="FF0000"/>
          <w:sz w:val="32"/>
          <w:szCs w:val="26"/>
          <w:u w:val="single"/>
          <w:rtl/>
        </w:rPr>
      </w:pPr>
    </w:p>
    <w:p w:rsidR="0028013E" w:rsidRDefault="0028013E" w:rsidP="0028013E">
      <w:pPr>
        <w:bidi/>
        <w:spacing w:line="360" w:lineRule="auto"/>
        <w:jc w:val="both"/>
        <w:outlineLvl w:val="2"/>
        <w:rPr>
          <w:rFonts w:ascii="David" w:hAnsi="David"/>
          <w:b/>
          <w:bCs/>
          <w:color w:val="FF0000"/>
          <w:sz w:val="32"/>
          <w:szCs w:val="26"/>
          <w:u w:val="single"/>
          <w:rtl/>
        </w:rPr>
      </w:pPr>
    </w:p>
    <w:p w:rsidR="0028013E" w:rsidRDefault="0028013E" w:rsidP="0028013E">
      <w:pPr>
        <w:bidi/>
        <w:spacing w:line="360" w:lineRule="auto"/>
        <w:jc w:val="both"/>
        <w:outlineLvl w:val="2"/>
        <w:rPr>
          <w:rFonts w:ascii="David" w:hAnsi="David"/>
          <w:b/>
          <w:bCs/>
          <w:color w:val="FF0000"/>
          <w:sz w:val="32"/>
          <w:szCs w:val="26"/>
          <w:u w:val="single"/>
          <w:rtl/>
        </w:rPr>
      </w:pPr>
    </w:p>
    <w:p w:rsidR="005A7CFB" w:rsidRDefault="005A7CFB" w:rsidP="00D33E77">
      <w:pPr>
        <w:bidi/>
        <w:jc w:val="both"/>
        <w:outlineLvl w:val="2"/>
        <w:rPr>
          <w:rFonts w:ascii="David" w:hAnsi="David"/>
          <w:b/>
          <w:bCs/>
          <w:color w:val="FF0000"/>
          <w:sz w:val="32"/>
          <w:szCs w:val="26"/>
          <w:u w:val="single"/>
          <w:rtl/>
        </w:rPr>
      </w:pPr>
    </w:p>
    <w:p w:rsidR="000118BE" w:rsidRPr="00BD3500" w:rsidRDefault="000118BE" w:rsidP="00A8553B">
      <w:pPr>
        <w:numPr>
          <w:ilvl w:val="0"/>
          <w:numId w:val="11"/>
        </w:numPr>
        <w:tabs>
          <w:tab w:val="clear" w:pos="720"/>
          <w:tab w:val="left" w:pos="-334"/>
          <w:tab w:val="num" w:pos="44"/>
        </w:tabs>
        <w:bidi/>
        <w:spacing w:line="360" w:lineRule="auto"/>
        <w:ind w:left="584" w:hanging="540"/>
        <w:jc w:val="both"/>
        <w:rPr>
          <w:rFonts w:ascii="Arial" w:hAnsi="Arial"/>
          <w:b/>
          <w:bCs/>
          <w:color w:val="0000FF"/>
          <w:sz w:val="24"/>
          <w:u w:val="single"/>
          <w:rtl/>
        </w:rPr>
      </w:pPr>
      <w:r w:rsidRPr="00BD3500">
        <w:rPr>
          <w:rFonts w:ascii="Arial" w:hAnsi="Arial" w:hint="cs"/>
          <w:b/>
          <w:bCs/>
          <w:color w:val="0000FF"/>
          <w:sz w:val="24"/>
          <w:u w:val="single"/>
          <w:rtl/>
        </w:rPr>
        <w:lastRenderedPageBreak/>
        <w:t>נדחתה תביעת דמי אבטלה של אב שניהל חברה של בנו עקב אי קיום יחסי עובד-מעביד בין בני המשפחה</w:t>
      </w:r>
    </w:p>
    <w:p w:rsidR="000118BE" w:rsidRPr="00B36B47" w:rsidRDefault="000118BE" w:rsidP="00D33E77">
      <w:pPr>
        <w:tabs>
          <w:tab w:val="left" w:pos="70"/>
        </w:tabs>
        <w:bidi/>
        <w:ind w:left="70"/>
        <w:jc w:val="both"/>
        <w:rPr>
          <w:b/>
          <w:bCs/>
          <w:sz w:val="24"/>
          <w:rtl/>
        </w:rPr>
      </w:pPr>
    </w:p>
    <w:p w:rsidR="000118BE" w:rsidRPr="00624B96" w:rsidRDefault="000118BE" w:rsidP="00A8553B">
      <w:pPr>
        <w:tabs>
          <w:tab w:val="left" w:pos="-110"/>
        </w:tabs>
        <w:bidi/>
        <w:spacing w:line="360" w:lineRule="auto"/>
        <w:ind w:left="-115"/>
        <w:jc w:val="both"/>
        <w:rPr>
          <w:b/>
          <w:bCs/>
          <w:sz w:val="24"/>
          <w:rtl/>
        </w:rPr>
      </w:pPr>
      <w:r w:rsidRPr="00624B96">
        <w:rPr>
          <w:b/>
          <w:bCs/>
          <w:sz w:val="24"/>
          <w:rtl/>
        </w:rPr>
        <w:t>ביה"ד קבע כי בנסיבות בהן התובע הקים את החברה שבבעלות בנו, ניהל אותה בפועל והמשיך לטפל בה גם לאחר סגירת פעילותה, אין לראות בתובע כעובד החברה, כמשמעות מונח זה בחוק הביטוח הלאומי. לאור קביעה זו פסק ביה"ד כי בדין נדחתה תביעת התובע לתשלום דמי אבטלה.</w:t>
      </w:r>
    </w:p>
    <w:p w:rsidR="000118BE" w:rsidRPr="00624B96" w:rsidRDefault="000118BE" w:rsidP="00A8553B">
      <w:pPr>
        <w:tabs>
          <w:tab w:val="left" w:pos="-110"/>
        </w:tabs>
        <w:bidi/>
        <w:spacing w:line="360" w:lineRule="auto"/>
        <w:ind w:left="-115"/>
        <w:jc w:val="both"/>
        <w:rPr>
          <w:b/>
          <w:bCs/>
          <w:sz w:val="24"/>
          <w:rtl/>
        </w:rPr>
      </w:pPr>
      <w:r w:rsidRPr="00624B96">
        <w:rPr>
          <w:b/>
          <w:bCs/>
          <w:sz w:val="24"/>
          <w:rtl/>
        </w:rPr>
        <w:t>חוק הביטוח הלאומי דורש שני תנאים מצטברים על מנת שבן משפחה יחשב כעובד: עבודה במפעל באופן סדיר</w:t>
      </w:r>
      <w:r w:rsidRPr="00624B96">
        <w:rPr>
          <w:rFonts w:hint="cs"/>
          <w:b/>
          <w:bCs/>
          <w:sz w:val="24"/>
          <w:rtl/>
        </w:rPr>
        <w:t xml:space="preserve"> ו</w:t>
      </w:r>
      <w:r w:rsidRPr="00624B96">
        <w:rPr>
          <w:b/>
          <w:bCs/>
          <w:sz w:val="24"/>
          <w:rtl/>
        </w:rPr>
        <w:t xml:space="preserve">שאלמלא ביצע את העבודה, היה עובד אחר מבצעה. </w:t>
      </w:r>
      <w:r w:rsidRPr="00624B96">
        <w:rPr>
          <w:rFonts w:hint="cs"/>
          <w:b/>
          <w:bCs/>
          <w:sz w:val="24"/>
          <w:rtl/>
        </w:rPr>
        <w:t xml:space="preserve">בית-הדין פסק, כי </w:t>
      </w:r>
      <w:r w:rsidRPr="00624B96">
        <w:rPr>
          <w:b/>
          <w:bCs/>
          <w:sz w:val="24"/>
          <w:rtl/>
        </w:rPr>
        <w:t>מי שטוען כי היחסים בינו לבין קרוב</w:t>
      </w:r>
      <w:r w:rsidRPr="00624B96">
        <w:rPr>
          <w:rFonts w:hint="cs"/>
          <w:b/>
          <w:bCs/>
          <w:sz w:val="24"/>
          <w:rtl/>
        </w:rPr>
        <w:t xml:space="preserve"> משפחתו מדרגה ראשונה</w:t>
      </w:r>
      <w:r w:rsidRPr="00624B96">
        <w:rPr>
          <w:b/>
          <w:bCs/>
          <w:sz w:val="24"/>
          <w:rtl/>
        </w:rPr>
        <w:t xml:space="preserve"> חורגים מגדר היחסים של עזרה משפחתית הדדית, ולבשו אופי של יחסי עובד-מעביד, עליו לשכנע כי קיימת מערכת חובות וזכויות מכוח קשר חוזי. </w:t>
      </w:r>
    </w:p>
    <w:p w:rsidR="000118BE" w:rsidRPr="00624B96" w:rsidRDefault="000118BE" w:rsidP="00A8553B">
      <w:pPr>
        <w:tabs>
          <w:tab w:val="left" w:pos="-110"/>
        </w:tabs>
        <w:bidi/>
        <w:spacing w:line="360" w:lineRule="auto"/>
        <w:ind w:left="-115"/>
        <w:jc w:val="both"/>
        <w:rPr>
          <w:b/>
          <w:bCs/>
          <w:sz w:val="24"/>
          <w:rtl/>
        </w:rPr>
      </w:pPr>
      <w:r w:rsidRPr="00624B96">
        <w:rPr>
          <w:b/>
          <w:bCs/>
          <w:sz w:val="24"/>
          <w:rtl/>
        </w:rPr>
        <w:t>בנסיבות</w:t>
      </w:r>
      <w:r w:rsidRPr="00624B96">
        <w:rPr>
          <w:rFonts w:hint="cs"/>
          <w:b/>
          <w:bCs/>
          <w:sz w:val="24"/>
          <w:rtl/>
        </w:rPr>
        <w:t xml:space="preserve"> ענייננו, נפסק כי </w:t>
      </w:r>
      <w:r w:rsidRPr="00624B96">
        <w:rPr>
          <w:b/>
          <w:bCs/>
          <w:sz w:val="24"/>
          <w:rtl/>
        </w:rPr>
        <w:t>אין לראות ב</w:t>
      </w:r>
      <w:r w:rsidRPr="00624B96">
        <w:rPr>
          <w:rFonts w:hint="cs"/>
          <w:b/>
          <w:bCs/>
          <w:sz w:val="24"/>
          <w:rtl/>
        </w:rPr>
        <w:t xml:space="preserve">אב </w:t>
      </w:r>
      <w:r w:rsidRPr="00624B96">
        <w:rPr>
          <w:b/>
          <w:bCs/>
          <w:sz w:val="24"/>
          <w:rtl/>
        </w:rPr>
        <w:t>כעובד החברה</w:t>
      </w:r>
      <w:r w:rsidRPr="00624B96">
        <w:rPr>
          <w:rFonts w:hint="cs"/>
          <w:b/>
          <w:bCs/>
          <w:sz w:val="24"/>
          <w:rtl/>
        </w:rPr>
        <w:t xml:space="preserve"> של בנו</w:t>
      </w:r>
      <w:r w:rsidRPr="00624B96">
        <w:rPr>
          <w:b/>
          <w:bCs/>
          <w:sz w:val="24"/>
          <w:rtl/>
        </w:rPr>
        <w:t>, כמשמעות מונח זה בחוק הביטוח הלאומי. לפיכך, תביעת התובע לדמי אבטלה נדחתה.</w:t>
      </w:r>
    </w:p>
    <w:p w:rsidR="000118BE" w:rsidRDefault="000118BE" w:rsidP="00A8553B">
      <w:pPr>
        <w:tabs>
          <w:tab w:val="left" w:pos="-334"/>
        </w:tabs>
        <w:bidi/>
        <w:spacing w:line="360" w:lineRule="auto"/>
        <w:ind w:left="-110"/>
        <w:jc w:val="both"/>
        <w:rPr>
          <w:b/>
          <w:bCs/>
          <w:sz w:val="28"/>
          <w:szCs w:val="28"/>
          <w:rtl/>
        </w:rPr>
      </w:pPr>
      <w:r>
        <w:rPr>
          <w:rFonts w:ascii="David" w:hAnsi="David"/>
          <w:color w:val="000000"/>
          <w:sz w:val="22"/>
          <w:szCs w:val="22"/>
          <w:rtl/>
        </w:rPr>
        <w:t>בל (ת"א) 954-06-11</w:t>
      </w:r>
      <w:r w:rsidRPr="007D1A23">
        <w:rPr>
          <w:color w:val="FF0000"/>
          <w:sz w:val="22"/>
          <w:szCs w:val="22"/>
        </w:rPr>
        <w:t xml:space="preserve">● </w:t>
      </w:r>
      <w:r w:rsidRPr="007D1A23">
        <w:rPr>
          <w:rFonts w:hint="cs"/>
          <w:color w:val="2B003A"/>
          <w:sz w:val="22"/>
          <w:szCs w:val="22"/>
          <w:rtl/>
        </w:rPr>
        <w:t xml:space="preserve"> </w:t>
      </w:r>
      <w:r w:rsidRPr="00872BA5">
        <w:rPr>
          <w:rFonts w:ascii="David" w:hAnsi="David" w:hint="cs"/>
          <w:b/>
          <w:bCs/>
          <w:color w:val="FF0000"/>
          <w:sz w:val="22"/>
          <w:szCs w:val="22"/>
          <w:rtl/>
        </w:rPr>
        <w:t>יוסף פולד נ' המוסד לביטוח לאומי</w:t>
      </w:r>
      <w:r w:rsidRPr="00872BA5">
        <w:rPr>
          <w:b/>
          <w:bCs/>
          <w:color w:val="FF0000"/>
          <w:rtl/>
        </w:rPr>
        <w:t xml:space="preserve"> </w:t>
      </w:r>
      <w:r w:rsidRPr="0048743E">
        <w:rPr>
          <w:rFonts w:ascii="David" w:hAnsi="David" w:hint="cs"/>
          <w:color w:val="000000"/>
          <w:sz w:val="22"/>
          <w:szCs w:val="22"/>
          <w:rtl/>
        </w:rPr>
        <w:t>(</w:t>
      </w:r>
      <w:r>
        <w:rPr>
          <w:rFonts w:ascii="David" w:hAnsi="David" w:hint="cs"/>
          <w:color w:val="000000"/>
          <w:sz w:val="22"/>
          <w:szCs w:val="22"/>
          <w:rtl/>
        </w:rPr>
        <w:t>27.5</w:t>
      </w:r>
      <w:r w:rsidRPr="0048743E">
        <w:rPr>
          <w:rFonts w:ascii="David" w:hAnsi="David" w:hint="cs"/>
          <w:color w:val="000000"/>
          <w:sz w:val="22"/>
          <w:szCs w:val="22"/>
          <w:rtl/>
        </w:rPr>
        <w:t>.13</w:t>
      </w:r>
      <w:r w:rsidRPr="007D1A23">
        <w:rPr>
          <w:rFonts w:hint="cs"/>
          <w:color w:val="2B003A"/>
          <w:sz w:val="22"/>
          <w:szCs w:val="22"/>
          <w:rtl/>
        </w:rPr>
        <w:t xml:space="preserve">) </w:t>
      </w:r>
      <w:r w:rsidRPr="007D1A23">
        <w:rPr>
          <w:color w:val="FF0000"/>
          <w:sz w:val="22"/>
          <w:szCs w:val="22"/>
        </w:rPr>
        <w:t>●</w:t>
      </w:r>
      <w:r w:rsidRPr="007D1A23">
        <w:rPr>
          <w:rFonts w:hint="cs"/>
          <w:color w:val="2B003A"/>
          <w:sz w:val="22"/>
          <w:szCs w:val="22"/>
          <w:rtl/>
        </w:rPr>
        <w:t xml:space="preserve"> </w:t>
      </w:r>
      <w:r w:rsidRPr="0048743E">
        <w:rPr>
          <w:rFonts w:ascii="David" w:hAnsi="David" w:hint="cs"/>
          <w:color w:val="000000"/>
          <w:sz w:val="22"/>
          <w:szCs w:val="22"/>
          <w:rtl/>
        </w:rPr>
        <w:t xml:space="preserve">בפני כבוד </w:t>
      </w:r>
      <w:r>
        <w:rPr>
          <w:rFonts w:ascii="David" w:hAnsi="David" w:hint="cs"/>
          <w:color w:val="000000"/>
          <w:sz w:val="22"/>
          <w:szCs w:val="22"/>
          <w:rtl/>
        </w:rPr>
        <w:t>השופטת סגנית נשיאה הדס יהלום, נ.ע מר ישעיהו אברהם</w:t>
      </w:r>
    </w:p>
    <w:p w:rsidR="000118BE" w:rsidRDefault="000118BE" w:rsidP="00D33E77">
      <w:pPr>
        <w:tabs>
          <w:tab w:val="left" w:pos="-334"/>
        </w:tabs>
        <w:bidi/>
        <w:ind w:left="-110"/>
        <w:jc w:val="both"/>
        <w:rPr>
          <w:b/>
          <w:bCs/>
          <w:sz w:val="28"/>
          <w:szCs w:val="28"/>
          <w:rtl/>
        </w:rPr>
      </w:pPr>
    </w:p>
    <w:p w:rsidR="000118BE" w:rsidRPr="00BD3500" w:rsidRDefault="000118BE" w:rsidP="00A8553B">
      <w:pPr>
        <w:numPr>
          <w:ilvl w:val="0"/>
          <w:numId w:val="11"/>
        </w:numPr>
        <w:tabs>
          <w:tab w:val="clear" w:pos="720"/>
          <w:tab w:val="left" w:pos="-334"/>
          <w:tab w:val="num" w:pos="44"/>
        </w:tabs>
        <w:bidi/>
        <w:spacing w:line="360" w:lineRule="auto"/>
        <w:ind w:left="584" w:hanging="540"/>
        <w:jc w:val="both"/>
        <w:rPr>
          <w:rFonts w:ascii="Arial" w:hAnsi="Arial"/>
          <w:b/>
          <w:bCs/>
          <w:color w:val="0000FF"/>
          <w:sz w:val="24"/>
          <w:u w:val="single"/>
          <w:rtl/>
        </w:rPr>
      </w:pPr>
      <w:r w:rsidRPr="00BD3500">
        <w:rPr>
          <w:rFonts w:ascii="Arial" w:hAnsi="Arial" w:hint="cs"/>
          <w:b/>
          <w:bCs/>
          <w:color w:val="0000FF"/>
          <w:sz w:val="24"/>
          <w:u w:val="single"/>
          <w:rtl/>
        </w:rPr>
        <w:t>תקופת אכשרה מעשית כחלק מהזכאות לתואר אקדמאי אינה יוצרת יחסי עובד ומעביד</w:t>
      </w:r>
    </w:p>
    <w:p w:rsidR="000118BE" w:rsidRPr="00B36B47" w:rsidRDefault="000118BE" w:rsidP="00D33E77">
      <w:pPr>
        <w:tabs>
          <w:tab w:val="left" w:pos="70"/>
        </w:tabs>
        <w:bidi/>
        <w:ind w:left="70"/>
        <w:jc w:val="both"/>
        <w:rPr>
          <w:b/>
          <w:bCs/>
          <w:sz w:val="24"/>
          <w:rtl/>
        </w:rPr>
      </w:pPr>
    </w:p>
    <w:p w:rsidR="000118BE" w:rsidRPr="00FB5B25" w:rsidRDefault="000118BE" w:rsidP="00A8553B">
      <w:pPr>
        <w:tabs>
          <w:tab w:val="left" w:pos="-110"/>
        </w:tabs>
        <w:bidi/>
        <w:spacing w:line="360" w:lineRule="auto"/>
        <w:ind w:left="-115"/>
        <w:jc w:val="both"/>
        <w:rPr>
          <w:b/>
          <w:bCs/>
          <w:sz w:val="24"/>
          <w:rtl/>
        </w:rPr>
      </w:pPr>
      <w:r>
        <w:rPr>
          <w:rFonts w:hint="cs"/>
          <w:b/>
          <w:bCs/>
          <w:rtl/>
        </w:rPr>
        <w:t xml:space="preserve">בית-הדין האזורי לעבודה דחה תביעה של תלמיד לשעבר בלימודי עתודה לתואר הנדסאי אלקטרוניקה בכיתות י"ג - י"ד במכללה לטכנאים ולהנדסאים "עמל", בדבר קיומם של יחסי עובד מעביד בינו לבין המדינה - צה"ל בתקופה שבה ביצע הכשרה מעשית במשך 12 חודשים במהלך כיתה י"ד. בית-הדין קבע כי התלמיד לא </w:t>
      </w:r>
      <w:r w:rsidRPr="00360C59">
        <w:rPr>
          <w:b/>
          <w:bCs/>
          <w:rtl/>
        </w:rPr>
        <w:t>חויב ע</w:t>
      </w:r>
      <w:r w:rsidRPr="00360C59">
        <w:rPr>
          <w:rFonts w:hint="cs"/>
          <w:b/>
          <w:bCs/>
          <w:rtl/>
        </w:rPr>
        <w:t>ל-ידי</w:t>
      </w:r>
      <w:r w:rsidRPr="00360C59">
        <w:rPr>
          <w:b/>
          <w:bCs/>
          <w:rtl/>
        </w:rPr>
        <w:t xml:space="preserve"> צה"ל לעבוד בהיקף שעות מסוים ו/או כי שעות "עבודתו" היו בהתאם לשעות פעילות היחידה. </w:t>
      </w:r>
      <w:r w:rsidRPr="00360C59">
        <w:rPr>
          <w:rFonts w:hint="cs"/>
          <w:b/>
          <w:bCs/>
          <w:rtl/>
        </w:rPr>
        <w:t>כמו כן</w:t>
      </w:r>
      <w:r>
        <w:rPr>
          <w:rFonts w:hint="cs"/>
          <w:b/>
          <w:bCs/>
          <w:rtl/>
        </w:rPr>
        <w:t xml:space="preserve"> נקבע כי</w:t>
      </w:r>
      <w:r w:rsidRPr="00360C59">
        <w:rPr>
          <w:rFonts w:hint="cs"/>
          <w:b/>
          <w:bCs/>
          <w:rtl/>
        </w:rPr>
        <w:t xml:space="preserve"> לא</w:t>
      </w:r>
      <w:r w:rsidRPr="00360C59">
        <w:rPr>
          <w:b/>
          <w:bCs/>
          <w:rtl/>
        </w:rPr>
        <w:t xml:space="preserve"> היה פיקוח ורישום של שעות שהותו של ה</w:t>
      </w:r>
      <w:r w:rsidRPr="00360C59">
        <w:rPr>
          <w:rFonts w:hint="cs"/>
          <w:b/>
          <w:bCs/>
          <w:rtl/>
        </w:rPr>
        <w:t>תלמיד</w:t>
      </w:r>
      <w:r w:rsidRPr="00360C59">
        <w:rPr>
          <w:b/>
          <w:bCs/>
          <w:rtl/>
        </w:rPr>
        <w:t xml:space="preserve"> ביחידה, </w:t>
      </w:r>
      <w:r w:rsidRPr="00360C59">
        <w:rPr>
          <w:rFonts w:hint="cs"/>
          <w:b/>
          <w:bCs/>
          <w:rtl/>
        </w:rPr>
        <w:t>וכן לא הוכח כי</w:t>
      </w:r>
      <w:r w:rsidRPr="00360C59">
        <w:rPr>
          <w:b/>
          <w:bCs/>
          <w:rtl/>
        </w:rPr>
        <w:t xml:space="preserve"> הת</w:t>
      </w:r>
      <w:r w:rsidRPr="00360C59">
        <w:rPr>
          <w:rFonts w:hint="cs"/>
          <w:b/>
          <w:bCs/>
          <w:rtl/>
        </w:rPr>
        <w:t>למיד</w:t>
      </w:r>
      <w:r w:rsidRPr="00360C59">
        <w:rPr>
          <w:b/>
          <w:bCs/>
          <w:rtl/>
        </w:rPr>
        <w:t xml:space="preserve"> ביצע עבודה באופן עצמאי, אלא, בעיקרו של דבר, ביצע הפרוייקט בפיקוח והנחיית אחרים. </w:t>
      </w:r>
      <w:r w:rsidRPr="00360C59">
        <w:rPr>
          <w:rFonts w:hint="cs"/>
          <w:b/>
          <w:bCs/>
          <w:rtl/>
        </w:rPr>
        <w:t>כן נקבע כי מ</w:t>
      </w:r>
      <w:r w:rsidRPr="00360C59">
        <w:rPr>
          <w:b/>
          <w:bCs/>
          <w:rtl/>
        </w:rPr>
        <w:t>כוונת הצדדים</w:t>
      </w:r>
      <w:r w:rsidRPr="00360C59">
        <w:rPr>
          <w:rFonts w:hint="cs"/>
          <w:b/>
          <w:bCs/>
          <w:rtl/>
        </w:rPr>
        <w:t xml:space="preserve"> עולה</w:t>
      </w:r>
      <w:r w:rsidRPr="00360C59">
        <w:rPr>
          <w:b/>
          <w:bCs/>
          <w:rtl/>
        </w:rPr>
        <w:t>, בהתאם למסמך עליו הוחתם ה</w:t>
      </w:r>
      <w:r w:rsidRPr="00360C59">
        <w:rPr>
          <w:rFonts w:hint="cs"/>
          <w:b/>
          <w:bCs/>
          <w:rtl/>
        </w:rPr>
        <w:t>תלמיד</w:t>
      </w:r>
      <w:r w:rsidRPr="00360C59">
        <w:rPr>
          <w:b/>
          <w:bCs/>
          <w:rtl/>
        </w:rPr>
        <w:t>,</w:t>
      </w:r>
      <w:r w:rsidRPr="00360C59">
        <w:rPr>
          <w:rFonts w:hint="cs"/>
          <w:b/>
          <w:bCs/>
          <w:rtl/>
        </w:rPr>
        <w:t xml:space="preserve"> כי</w:t>
      </w:r>
      <w:r w:rsidRPr="00360C59">
        <w:rPr>
          <w:b/>
          <w:bCs/>
          <w:rtl/>
        </w:rPr>
        <w:t xml:space="preserve"> לא הי</w:t>
      </w:r>
      <w:r w:rsidRPr="00360C59">
        <w:rPr>
          <w:rFonts w:hint="cs"/>
          <w:b/>
          <w:bCs/>
          <w:rtl/>
        </w:rPr>
        <w:t>י</w:t>
      </w:r>
      <w:r w:rsidRPr="00360C59">
        <w:rPr>
          <w:b/>
          <w:bCs/>
          <w:rtl/>
        </w:rPr>
        <w:t>תה יצירת יחסי עבודה, אלא הסדרת מערכת היחסים ביניהם בתקופת ביצוע הפרוייקט ולאחריה.</w:t>
      </w:r>
      <w:r w:rsidRPr="00360C59">
        <w:rPr>
          <w:rFonts w:hint="cs"/>
          <w:b/>
          <w:bCs/>
          <w:rtl/>
        </w:rPr>
        <w:t xml:space="preserve"> נקבע כי </w:t>
      </w:r>
      <w:r w:rsidRPr="00360C59">
        <w:rPr>
          <w:b/>
          <w:bCs/>
          <w:rtl/>
        </w:rPr>
        <w:t>הכשרת</w:t>
      </w:r>
      <w:r w:rsidRPr="00360C59">
        <w:rPr>
          <w:rFonts w:hint="cs"/>
          <w:b/>
          <w:bCs/>
          <w:rtl/>
        </w:rPr>
        <w:t>ו</w:t>
      </w:r>
      <w:r w:rsidRPr="00360C59">
        <w:rPr>
          <w:b/>
          <w:bCs/>
          <w:rtl/>
        </w:rPr>
        <w:t xml:space="preserve"> המעשית של ה</w:t>
      </w:r>
      <w:r w:rsidRPr="00360C59">
        <w:rPr>
          <w:rFonts w:hint="cs"/>
          <w:b/>
          <w:bCs/>
          <w:rtl/>
        </w:rPr>
        <w:t>תלמיד</w:t>
      </w:r>
      <w:r w:rsidRPr="00360C59">
        <w:rPr>
          <w:b/>
          <w:bCs/>
          <w:rtl/>
        </w:rPr>
        <w:t>, לא הי</w:t>
      </w:r>
      <w:r>
        <w:rPr>
          <w:rFonts w:hint="cs"/>
          <w:b/>
          <w:bCs/>
          <w:rtl/>
        </w:rPr>
        <w:t>י</w:t>
      </w:r>
      <w:r w:rsidRPr="00360C59">
        <w:rPr>
          <w:b/>
          <w:bCs/>
          <w:rtl/>
        </w:rPr>
        <w:t xml:space="preserve">תה שונה במהותה מההכשרה המעשית </w:t>
      </w:r>
      <w:r w:rsidRPr="00360C59">
        <w:rPr>
          <w:rFonts w:hint="cs"/>
          <w:b/>
          <w:bCs/>
          <w:rtl/>
        </w:rPr>
        <w:t xml:space="preserve">של </w:t>
      </w:r>
      <w:r w:rsidRPr="00360C59">
        <w:rPr>
          <w:b/>
          <w:bCs/>
          <w:rtl/>
        </w:rPr>
        <w:t>סטודנטים לרפואה במהלך שנות לימודיהם (בשונה ממתמחים ברפואה), או מהכשרה מעשית של סטודנטים להוראה</w:t>
      </w:r>
      <w:r w:rsidRPr="00360C59">
        <w:rPr>
          <w:rFonts w:hint="cs"/>
          <w:b/>
          <w:bCs/>
          <w:rtl/>
        </w:rPr>
        <w:t>.</w:t>
      </w:r>
      <w:r w:rsidRPr="00360C59">
        <w:rPr>
          <w:b/>
          <w:bCs/>
          <w:rtl/>
        </w:rPr>
        <w:t xml:space="preserve"> זאת</w:t>
      </w:r>
      <w:r w:rsidRPr="00360C59">
        <w:rPr>
          <w:rFonts w:hint="cs"/>
          <w:b/>
          <w:bCs/>
          <w:rtl/>
        </w:rPr>
        <w:t>,</w:t>
      </w:r>
      <w:r w:rsidRPr="00360C59">
        <w:rPr>
          <w:b/>
          <w:bCs/>
          <w:rtl/>
        </w:rPr>
        <w:t xml:space="preserve"> בשונה מהכשרתם של מתמחים במשפטים, בראיית חשבון, ברפוא</w:t>
      </w:r>
      <w:r w:rsidRPr="00360C59">
        <w:rPr>
          <w:rFonts w:hint="cs"/>
          <w:b/>
          <w:bCs/>
          <w:rtl/>
        </w:rPr>
        <w:t>ה</w:t>
      </w:r>
      <w:r w:rsidRPr="00360C59">
        <w:rPr>
          <w:b/>
          <w:bCs/>
          <w:rtl/>
        </w:rPr>
        <w:t xml:space="preserve"> וכיוצב', אשר השלימו את התואר טרם תחילת ההתמחות</w:t>
      </w:r>
      <w:r w:rsidRPr="00360C59">
        <w:rPr>
          <w:rFonts w:hint="cs"/>
          <w:b/>
          <w:bCs/>
          <w:rtl/>
        </w:rPr>
        <w:t>,</w:t>
      </w:r>
      <w:r w:rsidRPr="00360C59">
        <w:rPr>
          <w:b/>
          <w:bCs/>
          <w:rtl/>
        </w:rPr>
        <w:t xml:space="preserve"> וההתמחות נועדה להקנות להם רישיון לעיסוק במקצוע.</w:t>
      </w:r>
      <w:r w:rsidRPr="00360C59">
        <w:rPr>
          <w:rFonts w:hint="cs"/>
          <w:b/>
          <w:bCs/>
          <w:rtl/>
        </w:rPr>
        <w:t xml:space="preserve"> לפיכך נקבע כי </w:t>
      </w:r>
      <w:r w:rsidRPr="00360C59">
        <w:rPr>
          <w:b/>
          <w:bCs/>
          <w:rtl/>
        </w:rPr>
        <w:t xml:space="preserve"> לא הוכח קיומם של יחסי עובד מעביד בין הת</w:t>
      </w:r>
      <w:r w:rsidRPr="00360C59">
        <w:rPr>
          <w:rFonts w:hint="cs"/>
          <w:b/>
          <w:bCs/>
          <w:rtl/>
        </w:rPr>
        <w:t xml:space="preserve">למיד </w:t>
      </w:r>
      <w:r>
        <w:rPr>
          <w:b/>
          <w:bCs/>
          <w:rtl/>
        </w:rPr>
        <w:t>לצה"ל בתקופת ביצוע הפרוי</w:t>
      </w:r>
      <w:r w:rsidRPr="00360C59">
        <w:rPr>
          <w:b/>
          <w:bCs/>
          <w:rtl/>
        </w:rPr>
        <w:t>קט.</w:t>
      </w:r>
      <w:r w:rsidRPr="00360C59">
        <w:rPr>
          <w:rFonts w:hint="cs"/>
          <w:b/>
          <w:bCs/>
          <w:rtl/>
        </w:rPr>
        <w:t xml:space="preserve"> למרות זאת נקבע כי התלמיד </w:t>
      </w:r>
      <w:r w:rsidRPr="00360C59">
        <w:rPr>
          <w:b/>
          <w:bCs/>
          <w:rtl/>
        </w:rPr>
        <w:t xml:space="preserve">הוטעה </w:t>
      </w:r>
      <w:r w:rsidRPr="00360C59">
        <w:rPr>
          <w:rFonts w:hint="cs"/>
          <w:b/>
          <w:bCs/>
          <w:rtl/>
        </w:rPr>
        <w:t xml:space="preserve">על-ידי צה"ל </w:t>
      </w:r>
      <w:r w:rsidRPr="00360C59">
        <w:rPr>
          <w:b/>
          <w:bCs/>
          <w:rtl/>
        </w:rPr>
        <w:t>שעה שהוחתם</w:t>
      </w:r>
      <w:r w:rsidRPr="00360C59">
        <w:rPr>
          <w:rFonts w:hint="cs"/>
          <w:b/>
          <w:bCs/>
          <w:rtl/>
        </w:rPr>
        <w:t xml:space="preserve"> על טופס התחייבות בו התחייב צה"ל לשלם לתלמיד תמורה,</w:t>
      </w:r>
      <w:r w:rsidRPr="00360C59">
        <w:rPr>
          <w:b/>
          <w:bCs/>
          <w:rtl/>
        </w:rPr>
        <w:t xml:space="preserve"> וזאת עקב טעות. </w:t>
      </w:r>
      <w:r w:rsidRPr="00360C59">
        <w:rPr>
          <w:rFonts w:hint="cs"/>
          <w:b/>
          <w:bCs/>
          <w:rtl/>
        </w:rPr>
        <w:t>מאחר ש</w:t>
      </w:r>
      <w:r w:rsidRPr="00360C59">
        <w:rPr>
          <w:b/>
          <w:bCs/>
          <w:rtl/>
        </w:rPr>
        <w:t>בעת החתימה על המסמך, הוצג בפני הת</w:t>
      </w:r>
      <w:r w:rsidRPr="00360C59">
        <w:rPr>
          <w:rFonts w:hint="cs"/>
          <w:b/>
          <w:bCs/>
          <w:rtl/>
        </w:rPr>
        <w:t>למיד</w:t>
      </w:r>
      <w:r w:rsidRPr="00360C59">
        <w:rPr>
          <w:b/>
          <w:bCs/>
          <w:rtl/>
        </w:rPr>
        <w:t xml:space="preserve"> מצג </w:t>
      </w:r>
      <w:r w:rsidRPr="00360C59">
        <w:rPr>
          <w:rFonts w:hint="cs"/>
          <w:b/>
          <w:bCs/>
          <w:rtl/>
        </w:rPr>
        <w:t xml:space="preserve">שווא </w:t>
      </w:r>
      <w:r w:rsidRPr="00360C59">
        <w:rPr>
          <w:b/>
          <w:bCs/>
          <w:rtl/>
        </w:rPr>
        <w:t xml:space="preserve">ולפיו </w:t>
      </w:r>
      <w:r w:rsidRPr="00360C59">
        <w:rPr>
          <w:rFonts w:hint="cs"/>
          <w:b/>
          <w:bCs/>
          <w:rtl/>
        </w:rPr>
        <w:t xml:space="preserve">הוא </w:t>
      </w:r>
      <w:r w:rsidRPr="00360C59">
        <w:rPr>
          <w:b/>
          <w:bCs/>
          <w:rtl/>
        </w:rPr>
        <w:t>יזכה לתמורה מסוימת בעד שעות הכשרתו</w:t>
      </w:r>
      <w:r w:rsidRPr="00360C59">
        <w:rPr>
          <w:rFonts w:hint="cs"/>
          <w:b/>
          <w:bCs/>
          <w:rtl/>
        </w:rPr>
        <w:t>,</w:t>
      </w:r>
      <w:r w:rsidRPr="00360C59">
        <w:rPr>
          <w:b/>
          <w:bCs/>
          <w:rtl/>
        </w:rPr>
        <w:t xml:space="preserve"> ועל כן </w:t>
      </w:r>
      <w:r w:rsidRPr="00360C59">
        <w:rPr>
          <w:rFonts w:hint="cs"/>
          <w:b/>
          <w:bCs/>
          <w:rtl/>
        </w:rPr>
        <w:t xml:space="preserve">הוא סבר בתום </w:t>
      </w:r>
      <w:r w:rsidRPr="00360C59">
        <w:rPr>
          <w:b/>
          <w:bCs/>
          <w:rtl/>
        </w:rPr>
        <w:t>לב כי מדובר ב"שכר" בעד עבודה</w:t>
      </w:r>
      <w:r w:rsidRPr="00360C59">
        <w:rPr>
          <w:rFonts w:hint="cs"/>
          <w:b/>
          <w:bCs/>
          <w:rtl/>
        </w:rPr>
        <w:t xml:space="preserve">, נפסק </w:t>
      </w:r>
      <w:r w:rsidRPr="00360C59">
        <w:rPr>
          <w:b/>
          <w:bCs/>
          <w:rtl/>
        </w:rPr>
        <w:t>לזכות הת</w:t>
      </w:r>
      <w:r w:rsidRPr="00360C59">
        <w:rPr>
          <w:rFonts w:hint="cs"/>
          <w:b/>
          <w:bCs/>
          <w:rtl/>
        </w:rPr>
        <w:t>למיד</w:t>
      </w:r>
      <w:r w:rsidRPr="00360C59">
        <w:rPr>
          <w:b/>
          <w:bCs/>
          <w:rtl/>
        </w:rPr>
        <w:t xml:space="preserve"> </w:t>
      </w:r>
      <w:r w:rsidRPr="00360C59">
        <w:rPr>
          <w:rFonts w:hint="cs"/>
          <w:b/>
          <w:bCs/>
          <w:rtl/>
        </w:rPr>
        <w:t>פיצוי בדמות הוצאות משפט בסך של 4,500 ₪ אגב דחיית התביעה בה</w:t>
      </w:r>
      <w:r>
        <w:rPr>
          <w:rFonts w:hint="cs"/>
          <w:b/>
          <w:bCs/>
          <w:rtl/>
        </w:rPr>
        <w:t>עדר קיום יחסי עובד מעביד שהרי המדינה היא ש</w:t>
      </w:r>
      <w:r w:rsidRPr="00360C59">
        <w:rPr>
          <w:rFonts w:hint="cs"/>
          <w:b/>
          <w:bCs/>
          <w:rtl/>
        </w:rPr>
        <w:t>גרר</w:t>
      </w:r>
      <w:r>
        <w:rPr>
          <w:rFonts w:hint="cs"/>
          <w:b/>
          <w:bCs/>
          <w:rtl/>
        </w:rPr>
        <w:t>ה</w:t>
      </w:r>
      <w:r w:rsidRPr="00360C59">
        <w:rPr>
          <w:rFonts w:hint="cs"/>
          <w:b/>
          <w:bCs/>
          <w:rtl/>
        </w:rPr>
        <w:t xml:space="preserve"> אותו להתדיינות הארוכה. </w:t>
      </w:r>
    </w:p>
    <w:p w:rsidR="000118BE" w:rsidRDefault="000118BE" w:rsidP="00A8553B">
      <w:pPr>
        <w:tabs>
          <w:tab w:val="left" w:pos="-110"/>
        </w:tabs>
        <w:bidi/>
        <w:spacing w:line="360" w:lineRule="auto"/>
        <w:ind w:left="-115"/>
        <w:jc w:val="both"/>
        <w:rPr>
          <w:b/>
          <w:bCs/>
          <w:sz w:val="24"/>
          <w:rtl/>
        </w:rPr>
      </w:pPr>
      <w:r>
        <w:rPr>
          <w:rFonts w:ascii="David" w:hAnsi="David"/>
          <w:color w:val="000000"/>
          <w:sz w:val="22"/>
          <w:szCs w:val="22"/>
          <w:rtl/>
        </w:rPr>
        <w:t>סע (ת"א) 20322-08-10</w:t>
      </w:r>
      <w:r w:rsidRPr="007D1A23">
        <w:rPr>
          <w:color w:val="FF0000"/>
          <w:sz w:val="22"/>
          <w:szCs w:val="22"/>
        </w:rPr>
        <w:t xml:space="preserve">● </w:t>
      </w:r>
      <w:r w:rsidRPr="007D1A23">
        <w:rPr>
          <w:rFonts w:hint="cs"/>
          <w:color w:val="2B003A"/>
          <w:sz w:val="22"/>
          <w:szCs w:val="22"/>
          <w:rtl/>
        </w:rPr>
        <w:t xml:space="preserve"> </w:t>
      </w:r>
      <w:r w:rsidRPr="00872BA5">
        <w:rPr>
          <w:rFonts w:ascii="David" w:hAnsi="David"/>
          <w:b/>
          <w:bCs/>
          <w:color w:val="FF0000"/>
          <w:sz w:val="22"/>
          <w:szCs w:val="22"/>
          <w:rtl/>
        </w:rPr>
        <w:t>אביב זילברמינץ נ' מדינת ישראל</w:t>
      </w:r>
      <w:r w:rsidRPr="00872BA5">
        <w:rPr>
          <w:b/>
          <w:bCs/>
          <w:color w:val="FF0000"/>
          <w:rtl/>
        </w:rPr>
        <w:t xml:space="preserve"> </w:t>
      </w:r>
      <w:r w:rsidRPr="0048743E">
        <w:rPr>
          <w:rFonts w:ascii="David" w:hAnsi="David" w:hint="cs"/>
          <w:color w:val="000000"/>
          <w:sz w:val="22"/>
          <w:szCs w:val="22"/>
          <w:rtl/>
        </w:rPr>
        <w:t>(</w:t>
      </w:r>
      <w:r>
        <w:rPr>
          <w:rFonts w:ascii="David" w:hAnsi="David" w:hint="cs"/>
          <w:color w:val="000000"/>
          <w:sz w:val="22"/>
          <w:szCs w:val="22"/>
          <w:rtl/>
        </w:rPr>
        <w:t>29</w:t>
      </w:r>
      <w:r w:rsidRPr="0048743E">
        <w:rPr>
          <w:rFonts w:ascii="David" w:hAnsi="David" w:hint="cs"/>
          <w:color w:val="000000"/>
          <w:sz w:val="22"/>
          <w:szCs w:val="22"/>
          <w:rtl/>
        </w:rPr>
        <w:t>.</w:t>
      </w:r>
      <w:r>
        <w:rPr>
          <w:rFonts w:ascii="David" w:hAnsi="David" w:hint="cs"/>
          <w:color w:val="000000"/>
          <w:sz w:val="22"/>
          <w:szCs w:val="22"/>
          <w:rtl/>
        </w:rPr>
        <w:t>4</w:t>
      </w:r>
      <w:r w:rsidRPr="0048743E">
        <w:rPr>
          <w:rFonts w:ascii="David" w:hAnsi="David" w:hint="cs"/>
          <w:color w:val="000000"/>
          <w:sz w:val="22"/>
          <w:szCs w:val="22"/>
          <w:rtl/>
        </w:rPr>
        <w:t>.13</w:t>
      </w:r>
      <w:r w:rsidRPr="007D1A23">
        <w:rPr>
          <w:rFonts w:hint="cs"/>
          <w:color w:val="2B003A"/>
          <w:sz w:val="22"/>
          <w:szCs w:val="22"/>
          <w:rtl/>
        </w:rPr>
        <w:t xml:space="preserve">) </w:t>
      </w:r>
      <w:r w:rsidRPr="007D1A23">
        <w:rPr>
          <w:color w:val="FF0000"/>
          <w:sz w:val="22"/>
          <w:szCs w:val="22"/>
        </w:rPr>
        <w:t>●</w:t>
      </w:r>
      <w:r w:rsidRPr="007D1A23">
        <w:rPr>
          <w:rFonts w:hint="cs"/>
          <w:color w:val="2B003A"/>
          <w:sz w:val="22"/>
          <w:szCs w:val="22"/>
          <w:rtl/>
        </w:rPr>
        <w:t xml:space="preserve"> </w:t>
      </w:r>
      <w:r w:rsidRPr="0048743E">
        <w:rPr>
          <w:rFonts w:ascii="David" w:hAnsi="David" w:hint="cs"/>
          <w:color w:val="000000"/>
          <w:sz w:val="22"/>
          <w:szCs w:val="22"/>
          <w:rtl/>
        </w:rPr>
        <w:t xml:space="preserve">בפני כבוד </w:t>
      </w:r>
      <w:r>
        <w:rPr>
          <w:rFonts w:ascii="David" w:hAnsi="David" w:hint="cs"/>
          <w:color w:val="000000"/>
          <w:sz w:val="22"/>
          <w:szCs w:val="22"/>
          <w:rtl/>
        </w:rPr>
        <w:t>השופט ד"ר יצחק לובוצקי, נ.ע מר ישראל אסא, נ.מ מר צבי גלייטמן</w:t>
      </w:r>
    </w:p>
    <w:p w:rsidR="000118BE" w:rsidRPr="00BD3500" w:rsidRDefault="000118BE" w:rsidP="00A8553B">
      <w:pPr>
        <w:numPr>
          <w:ilvl w:val="0"/>
          <w:numId w:val="11"/>
        </w:numPr>
        <w:tabs>
          <w:tab w:val="clear" w:pos="720"/>
          <w:tab w:val="left" w:pos="-334"/>
          <w:tab w:val="num" w:pos="44"/>
        </w:tabs>
        <w:bidi/>
        <w:spacing w:line="360" w:lineRule="auto"/>
        <w:ind w:left="584" w:hanging="540"/>
        <w:jc w:val="both"/>
        <w:rPr>
          <w:rFonts w:ascii="Arial" w:hAnsi="Arial"/>
          <w:b/>
          <w:bCs/>
          <w:color w:val="0000FF"/>
          <w:sz w:val="24"/>
          <w:u w:val="single"/>
          <w:rtl/>
        </w:rPr>
      </w:pPr>
      <w:r w:rsidRPr="00BD3500">
        <w:rPr>
          <w:rFonts w:ascii="Arial" w:hAnsi="Arial" w:hint="cs"/>
          <w:b/>
          <w:bCs/>
          <w:color w:val="0000FF"/>
          <w:sz w:val="24"/>
          <w:u w:val="single"/>
          <w:rtl/>
        </w:rPr>
        <w:lastRenderedPageBreak/>
        <w:t>מועסק שהוגדר כנותן שירותים למתחם דיור לקשישים זכה בתביעה כעובד</w:t>
      </w:r>
    </w:p>
    <w:p w:rsidR="000118BE" w:rsidRPr="00B36B47" w:rsidRDefault="000118BE" w:rsidP="00D33E77">
      <w:pPr>
        <w:tabs>
          <w:tab w:val="left" w:pos="70"/>
        </w:tabs>
        <w:bidi/>
        <w:ind w:left="70"/>
        <w:jc w:val="both"/>
        <w:rPr>
          <w:b/>
          <w:bCs/>
          <w:sz w:val="24"/>
          <w:rtl/>
        </w:rPr>
      </w:pPr>
    </w:p>
    <w:p w:rsidR="000118BE" w:rsidRPr="00A719EF" w:rsidRDefault="000118BE" w:rsidP="00D33E77">
      <w:pPr>
        <w:tabs>
          <w:tab w:val="left" w:pos="-110"/>
        </w:tabs>
        <w:bidi/>
        <w:spacing w:line="360" w:lineRule="auto"/>
        <w:ind w:left="-115"/>
        <w:jc w:val="both"/>
        <w:rPr>
          <w:b/>
          <w:bCs/>
        </w:rPr>
      </w:pPr>
      <w:r w:rsidRPr="00A719EF">
        <w:rPr>
          <w:rFonts w:hint="cs"/>
          <w:b/>
          <w:bCs/>
          <w:rtl/>
        </w:rPr>
        <w:t>בית הדין האזורי קיבל ברובה את תביעתו של התובע</w:t>
      </w:r>
      <w:r>
        <w:rPr>
          <w:rFonts w:hint="cs"/>
          <w:b/>
          <w:bCs/>
          <w:rtl/>
        </w:rPr>
        <w:t xml:space="preserve">, </w:t>
      </w:r>
      <w:r w:rsidRPr="00A719EF">
        <w:rPr>
          <w:b/>
          <w:bCs/>
          <w:rtl/>
        </w:rPr>
        <w:t>אשר שימש ככונן ב</w:t>
      </w:r>
      <w:r>
        <w:rPr>
          <w:b/>
          <w:bCs/>
          <w:rtl/>
        </w:rPr>
        <w:t>נתבעת, המנהלת מתחם דיור לקשישים</w:t>
      </w:r>
      <w:r>
        <w:rPr>
          <w:rFonts w:hint="cs"/>
          <w:b/>
          <w:bCs/>
          <w:rtl/>
        </w:rPr>
        <w:t>. התובע</w:t>
      </w:r>
      <w:r w:rsidRPr="00A719EF">
        <w:rPr>
          <w:b/>
          <w:bCs/>
          <w:rtl/>
        </w:rPr>
        <w:t xml:space="preserve"> נתן שירותים לדיירים, השתלב במפעל של הנתבעת</w:t>
      </w:r>
      <w:r>
        <w:rPr>
          <w:rFonts w:hint="cs"/>
          <w:b/>
          <w:bCs/>
          <w:rtl/>
        </w:rPr>
        <w:t xml:space="preserve"> (גם אם לא תמיד נכח במשרדים בפועל ולא נכח בכל אירועי הנתבעת).</w:t>
      </w:r>
      <w:r w:rsidRPr="00A719EF">
        <w:rPr>
          <w:b/>
          <w:bCs/>
          <w:rtl/>
        </w:rPr>
        <w:t xml:space="preserve"> </w:t>
      </w:r>
      <w:r>
        <w:rPr>
          <w:rFonts w:hint="cs"/>
          <w:b/>
          <w:bCs/>
          <w:rtl/>
        </w:rPr>
        <w:t xml:space="preserve">לא היו לו כלים משלו בהם עשה שימוש (להוציא את מכשיר הנייד הפרטי שלו - נסיבה שאין בה כדי לשנות בשים לב למכלול הנסיבות) </w:t>
      </w:r>
      <w:r w:rsidRPr="00A719EF">
        <w:rPr>
          <w:b/>
          <w:bCs/>
          <w:rtl/>
        </w:rPr>
        <w:t>ולא היה לו עסק עצמאי או אפשרות לרווח והפסד</w:t>
      </w:r>
      <w:r>
        <w:rPr>
          <w:rFonts w:hint="cs"/>
          <w:b/>
          <w:bCs/>
          <w:rtl/>
        </w:rPr>
        <w:t xml:space="preserve">. </w:t>
      </w:r>
      <w:r w:rsidRPr="00A719EF">
        <w:rPr>
          <w:b/>
          <w:bCs/>
          <w:rtl/>
        </w:rPr>
        <w:t>לכן</w:t>
      </w:r>
      <w:r>
        <w:rPr>
          <w:rFonts w:hint="cs"/>
          <w:b/>
          <w:bCs/>
          <w:rtl/>
        </w:rPr>
        <w:t>,</w:t>
      </w:r>
      <w:r w:rsidRPr="00A719EF">
        <w:rPr>
          <w:b/>
          <w:bCs/>
          <w:rtl/>
        </w:rPr>
        <w:t xml:space="preserve"> </w:t>
      </w:r>
      <w:r>
        <w:rPr>
          <w:rFonts w:hint="cs"/>
          <w:b/>
          <w:bCs/>
          <w:rtl/>
        </w:rPr>
        <w:t>נקבע כי התקיימו בתובע המבחן החיובי והמבחן השלילי לקיום יחסי עבודה.</w:t>
      </w:r>
      <w:r w:rsidR="00D33E77">
        <w:rPr>
          <w:rFonts w:hint="cs"/>
          <w:b/>
          <w:bCs/>
          <w:rtl/>
        </w:rPr>
        <w:t xml:space="preserve"> </w:t>
      </w:r>
      <w:r w:rsidRPr="00A719EF">
        <w:rPr>
          <w:b/>
          <w:bCs/>
          <w:rtl/>
        </w:rPr>
        <w:t>אמנם בהסכם השירות צוין כי לא מתקיימים יחסי עובד מעביד בין הצדדים, אך כבר נ</w:t>
      </w:r>
      <w:r>
        <w:rPr>
          <w:rFonts w:hint="cs"/>
          <w:b/>
          <w:bCs/>
          <w:rtl/>
        </w:rPr>
        <w:t>פסק</w:t>
      </w:r>
      <w:r w:rsidRPr="00A719EF">
        <w:rPr>
          <w:b/>
          <w:bCs/>
          <w:rtl/>
        </w:rPr>
        <w:t xml:space="preserve"> כי הדרך בה הגדירו הצדדים את היחסים אינה נסיבה מכריעה</w:t>
      </w:r>
      <w:r>
        <w:rPr>
          <w:rFonts w:hint="cs"/>
          <w:b/>
          <w:bCs/>
          <w:rtl/>
        </w:rPr>
        <w:t xml:space="preserve"> לקביעת סטאטוס במציאות.</w:t>
      </w:r>
      <w:r w:rsidR="00D33E77">
        <w:rPr>
          <w:rFonts w:hint="cs"/>
          <w:b/>
          <w:bCs/>
          <w:rtl/>
        </w:rPr>
        <w:t xml:space="preserve"> </w:t>
      </w:r>
      <w:r w:rsidRPr="00A719EF">
        <w:rPr>
          <w:b/>
          <w:bCs/>
          <w:rtl/>
        </w:rPr>
        <w:t>ביה"ד פסק לזכות התובע תשלום עבור שעות משרד</w:t>
      </w:r>
      <w:r>
        <w:rPr>
          <w:rFonts w:hint="cs"/>
          <w:b/>
          <w:bCs/>
          <w:rtl/>
        </w:rPr>
        <w:t>,</w:t>
      </w:r>
      <w:r w:rsidRPr="00A719EF">
        <w:rPr>
          <w:b/>
          <w:bCs/>
          <w:rtl/>
        </w:rPr>
        <w:t xml:space="preserve"> פיצויי פיטורים</w:t>
      </w:r>
      <w:r>
        <w:rPr>
          <w:rFonts w:hint="cs"/>
          <w:b/>
          <w:bCs/>
          <w:rtl/>
        </w:rPr>
        <w:t xml:space="preserve"> בגין התפטרות מחמת הידרדרות מצבו הבריאותי ואשפוז</w:t>
      </w:r>
      <w:r w:rsidRPr="00A719EF">
        <w:rPr>
          <w:b/>
          <w:bCs/>
          <w:rtl/>
        </w:rPr>
        <w:t>, תשלום בגין ימי מחלה, פיצוי בגין אי ביצוע הפרשות לפנסיה, פדיון חופשה ודמ</w:t>
      </w:r>
      <w:r>
        <w:rPr>
          <w:b/>
          <w:bCs/>
          <w:rtl/>
        </w:rPr>
        <w:t>י הבראה</w:t>
      </w:r>
      <w:r>
        <w:rPr>
          <w:rFonts w:hint="cs"/>
          <w:b/>
          <w:bCs/>
          <w:rtl/>
        </w:rPr>
        <w:t xml:space="preserve"> בסך כולל של 120,114₪, בתוספת ריבית והצמדה והוצאות בסך של </w:t>
      </w:r>
      <w:r w:rsidRPr="00A719EF">
        <w:rPr>
          <w:rFonts w:hint="cs"/>
          <w:b/>
          <w:bCs/>
          <w:rtl/>
        </w:rPr>
        <w:t>4,000₪.</w:t>
      </w:r>
    </w:p>
    <w:p w:rsidR="000118BE" w:rsidRDefault="000118BE" w:rsidP="00A8553B">
      <w:pPr>
        <w:tabs>
          <w:tab w:val="left" w:pos="-110"/>
        </w:tabs>
        <w:bidi/>
        <w:spacing w:line="360" w:lineRule="auto"/>
        <w:ind w:left="-115"/>
        <w:jc w:val="both"/>
        <w:rPr>
          <w:b/>
          <w:bCs/>
          <w:sz w:val="22"/>
          <w:szCs w:val="22"/>
          <w:rtl/>
        </w:rPr>
      </w:pPr>
      <w:r w:rsidRPr="00FB5B25">
        <w:rPr>
          <w:rFonts w:ascii="David" w:hAnsi="David"/>
          <w:color w:val="000000"/>
          <w:sz w:val="22"/>
          <w:szCs w:val="22"/>
          <w:rtl/>
        </w:rPr>
        <w:t>ס</w:t>
      </w:r>
      <w:r w:rsidRPr="00FB5B25">
        <w:rPr>
          <w:rFonts w:ascii="David" w:hAnsi="David" w:hint="cs"/>
          <w:color w:val="000000"/>
          <w:sz w:val="22"/>
          <w:szCs w:val="22"/>
          <w:rtl/>
        </w:rPr>
        <w:t>"ע</w:t>
      </w:r>
      <w:r w:rsidRPr="00FB5B25">
        <w:rPr>
          <w:rFonts w:ascii="David" w:hAnsi="David"/>
          <w:color w:val="000000"/>
          <w:sz w:val="22"/>
          <w:szCs w:val="22"/>
          <w:rtl/>
        </w:rPr>
        <w:t xml:space="preserve"> </w:t>
      </w:r>
      <w:r w:rsidRPr="00FB5B25">
        <w:rPr>
          <w:rFonts w:hint="cs"/>
          <w:sz w:val="22"/>
          <w:szCs w:val="22"/>
          <w:rtl/>
        </w:rPr>
        <w:t>35842-02-11</w:t>
      </w:r>
      <w:r w:rsidRPr="00FB5B25">
        <w:rPr>
          <w:color w:val="FF0000"/>
          <w:sz w:val="22"/>
          <w:szCs w:val="22"/>
        </w:rPr>
        <w:t xml:space="preserve">● </w:t>
      </w:r>
      <w:r w:rsidRPr="00FB5B25">
        <w:rPr>
          <w:rFonts w:hint="cs"/>
          <w:color w:val="2B003A"/>
          <w:sz w:val="22"/>
          <w:szCs w:val="22"/>
          <w:rtl/>
        </w:rPr>
        <w:t xml:space="preserve"> </w:t>
      </w:r>
      <w:r w:rsidRPr="00872BA5">
        <w:rPr>
          <w:rFonts w:ascii="David" w:hAnsi="David" w:hint="cs"/>
          <w:b/>
          <w:bCs/>
          <w:color w:val="FF0000"/>
          <w:sz w:val="22"/>
          <w:szCs w:val="22"/>
          <w:rtl/>
        </w:rPr>
        <w:t>דוד פולישוק נ'</w:t>
      </w:r>
      <w:r w:rsidRPr="00872BA5">
        <w:rPr>
          <w:rFonts w:ascii="David" w:hAnsi="David" w:hint="cs"/>
          <w:color w:val="FF0000"/>
          <w:sz w:val="22"/>
          <w:szCs w:val="22"/>
          <w:rtl/>
        </w:rPr>
        <w:t xml:space="preserve"> </w:t>
      </w:r>
      <w:r w:rsidRPr="00872BA5">
        <w:rPr>
          <w:b/>
          <w:bCs/>
          <w:color w:val="FF0000"/>
          <w:sz w:val="22"/>
          <w:szCs w:val="22"/>
          <w:rtl/>
        </w:rPr>
        <w:t xml:space="preserve">שקמונה חברה ממשלתית - עירונית לשקום הדיור בחיפה </w:t>
      </w:r>
      <w:r w:rsidRPr="00FB5B25">
        <w:rPr>
          <w:rFonts w:ascii="David" w:hAnsi="David" w:hint="cs"/>
          <w:color w:val="000000"/>
          <w:sz w:val="22"/>
          <w:szCs w:val="22"/>
          <w:rtl/>
        </w:rPr>
        <w:t>(19.5.13</w:t>
      </w:r>
      <w:r w:rsidRPr="00FB5B25">
        <w:rPr>
          <w:rFonts w:hint="cs"/>
          <w:color w:val="2B003A"/>
          <w:sz w:val="22"/>
          <w:szCs w:val="22"/>
          <w:rtl/>
        </w:rPr>
        <w:t xml:space="preserve">) </w:t>
      </w:r>
      <w:r w:rsidRPr="00FB5B25">
        <w:rPr>
          <w:color w:val="FF0000"/>
          <w:sz w:val="22"/>
          <w:szCs w:val="22"/>
        </w:rPr>
        <w:t>●</w:t>
      </w:r>
      <w:r w:rsidRPr="00FB5B25">
        <w:rPr>
          <w:rFonts w:hint="cs"/>
          <w:color w:val="2B003A"/>
          <w:sz w:val="22"/>
          <w:szCs w:val="22"/>
          <w:rtl/>
        </w:rPr>
        <w:t xml:space="preserve"> </w:t>
      </w:r>
      <w:r w:rsidRPr="00FB5B25">
        <w:rPr>
          <w:rFonts w:ascii="David" w:hAnsi="David" w:hint="cs"/>
          <w:color w:val="000000"/>
          <w:sz w:val="22"/>
          <w:szCs w:val="22"/>
          <w:rtl/>
        </w:rPr>
        <w:t>בפני כבוד השופטת אילת שומרוני-ברנשטיין,  נ.ע. מר אשר זנזורי, נ.מ. מר חיים רז</w:t>
      </w:r>
    </w:p>
    <w:p w:rsidR="000118BE" w:rsidRDefault="000118BE" w:rsidP="00A8553B">
      <w:pPr>
        <w:tabs>
          <w:tab w:val="left" w:pos="-110"/>
        </w:tabs>
        <w:bidi/>
        <w:spacing w:line="360" w:lineRule="auto"/>
        <w:ind w:left="-115"/>
        <w:jc w:val="both"/>
        <w:rPr>
          <w:b/>
          <w:bCs/>
          <w:sz w:val="22"/>
          <w:szCs w:val="22"/>
          <w:rtl/>
        </w:rPr>
      </w:pPr>
    </w:p>
    <w:p w:rsidR="000118BE" w:rsidRPr="00BD3500" w:rsidRDefault="000118BE" w:rsidP="00A8553B">
      <w:pPr>
        <w:numPr>
          <w:ilvl w:val="0"/>
          <w:numId w:val="11"/>
        </w:numPr>
        <w:tabs>
          <w:tab w:val="clear" w:pos="720"/>
          <w:tab w:val="left" w:pos="-334"/>
          <w:tab w:val="num" w:pos="44"/>
        </w:tabs>
        <w:bidi/>
        <w:spacing w:line="360" w:lineRule="auto"/>
        <w:ind w:left="584" w:hanging="540"/>
        <w:jc w:val="both"/>
        <w:rPr>
          <w:rFonts w:ascii="Arial" w:hAnsi="Arial"/>
          <w:b/>
          <w:bCs/>
          <w:color w:val="0000FF"/>
          <w:sz w:val="24"/>
          <w:u w:val="single"/>
          <w:rtl/>
        </w:rPr>
      </w:pPr>
      <w:r w:rsidRPr="00BD3500">
        <w:rPr>
          <w:rFonts w:ascii="Arial" w:hAnsi="Arial" w:hint="cs"/>
          <w:b/>
          <w:bCs/>
          <w:color w:val="0000FF"/>
          <w:sz w:val="24"/>
          <w:u w:val="single"/>
          <w:rtl/>
        </w:rPr>
        <w:t>נדחתה תביעת קבלן להכרתו כעובד, לאחר שנהנה מהטבות מס ומקסום רווח ממעמדו העצמאי ופעל בחוסר תום לב</w:t>
      </w:r>
    </w:p>
    <w:p w:rsidR="000118BE" w:rsidRPr="00B36B47" w:rsidRDefault="000118BE" w:rsidP="00D33E77">
      <w:pPr>
        <w:tabs>
          <w:tab w:val="left" w:pos="70"/>
        </w:tabs>
        <w:bidi/>
        <w:ind w:left="70"/>
        <w:jc w:val="both"/>
        <w:rPr>
          <w:b/>
          <w:bCs/>
          <w:sz w:val="24"/>
          <w:rtl/>
        </w:rPr>
      </w:pPr>
    </w:p>
    <w:p w:rsidR="000118BE" w:rsidRDefault="000118BE" w:rsidP="00A8553B">
      <w:pPr>
        <w:tabs>
          <w:tab w:val="left" w:pos="-110"/>
        </w:tabs>
        <w:bidi/>
        <w:spacing w:line="360" w:lineRule="auto"/>
        <w:ind w:left="-115"/>
        <w:jc w:val="both"/>
        <w:rPr>
          <w:b/>
          <w:bCs/>
          <w:color w:val="000000"/>
          <w:rtl/>
        </w:rPr>
      </w:pPr>
      <w:r>
        <w:rPr>
          <w:rFonts w:hint="cs"/>
          <w:b/>
          <w:bCs/>
          <w:color w:val="000000"/>
          <w:rtl/>
        </w:rPr>
        <w:t>בית הדין האזורי לעבודה בירושלים דחה ברובה תביעה, שבמרכזה שאלת המעמד של התובע כעובד או כקבלן ומעמדה המשפטי של מעסיקתו. התובע ביקש לקבוע כי עירית ירושלים והחברה לאוטומציה היו מעבידותיו במשותף. בית הדין קבע, כי חרף העובדה שבחברה התקיים "הפן החיובי" של מבחן ההשתלבות, הרי שהוכח שהתקיים "הפן השלילי" (</w:t>
      </w:r>
      <w:r>
        <w:rPr>
          <w:b/>
          <w:bCs/>
          <w:color w:val="000000"/>
          <w:rtl/>
        </w:rPr>
        <w:t>על מנת שאדם ייחשב כעובד</w:t>
      </w:r>
      <w:r w:rsidRPr="00167404">
        <w:rPr>
          <w:b/>
          <w:bCs/>
          <w:color w:val="000000"/>
          <w:rtl/>
        </w:rPr>
        <w:t xml:space="preserve"> לא די בכך שישתלב במפעל, אלא נדרש גם שההשתלבות בעבודה אינה במסגרת עסק עצמאי</w:t>
      </w:r>
      <w:r>
        <w:rPr>
          <w:rFonts w:hint="cs"/>
          <w:b/>
          <w:bCs/>
          <w:color w:val="000000"/>
          <w:rtl/>
        </w:rPr>
        <w:t>, שאינו עוסק בעבודות נוספות</w:t>
      </w:r>
      <w:r w:rsidRPr="00167404">
        <w:rPr>
          <w:b/>
          <w:bCs/>
          <w:color w:val="000000"/>
          <w:rtl/>
        </w:rPr>
        <w:t xml:space="preserve">, </w:t>
      </w:r>
      <w:r>
        <w:rPr>
          <w:rFonts w:hint="cs"/>
          <w:b/>
          <w:bCs/>
          <w:color w:val="000000"/>
          <w:rtl/>
        </w:rPr>
        <w:t>שאינו</w:t>
      </w:r>
      <w:r w:rsidRPr="00167404">
        <w:rPr>
          <w:b/>
          <w:bCs/>
          <w:color w:val="000000"/>
          <w:rtl/>
        </w:rPr>
        <w:t xml:space="preserve"> מעסיק עובדים ועוד</w:t>
      </w:r>
      <w:r>
        <w:rPr>
          <w:rFonts w:hint="cs"/>
          <w:b/>
          <w:bCs/>
          <w:color w:val="000000"/>
          <w:rtl/>
        </w:rPr>
        <w:t>). בענייננו, נקבע כי התובע נהנה מהטבות הנובעות ממעמדו כעצמאי, כגון מקסום רווחיו באמצעות שימוש מושכל בדיני המס. התובע התקשר עם החברה בחוזה למתן שירותים, מרצונו ומדעת, ניהל מו"מ עם החברה ביחס למעמדו, ואף בחר להמשיך את התקשרותו עם החברה כעצמאי, משיקולים כלכליים, גם לאחר שהוצע לו לעבור להיות שכיר. עוד נקבע, כי מקרה זה הינו מן המקרים החריגים בו ככל שהיה מקום לקבוע כי התקיימו יחסי עובד-מעביד בין הצדדים, הרי שיש להורות לתובע להשיב לחברה את הסכומים ששולמו לו ביתר, כקבלן עצמאי. זאת ועוד, בית הדין קבע כי לאור חוסר תום לבו של התובע (שאת תביעתו, לדוגמה, כימת בהתאם לתמורה אותה קיבל כקבלן עצמאי ובמקביל דרש הכרה ביחסי עובד-מעביד כשכיר) גם לו היתה נוטה כף המבחנים לטובתו, עדיין היה על תביעתו להידחות בשל חוסר תום לב. תביעתו של התובע נדחתה ברובה, שכן היתה מושתתת אך ורק על קיום יחסי עובד-מעביד, פרט להודעה מוקדמת כנותן שירות על פי חוזה עימו והתובע חוייב בשכ"ט עו"ד בסך כולל של 15,000 ₪.</w:t>
      </w:r>
    </w:p>
    <w:p w:rsidR="000118BE" w:rsidRDefault="000118BE" w:rsidP="00A8553B">
      <w:pPr>
        <w:tabs>
          <w:tab w:val="left" w:pos="-110"/>
        </w:tabs>
        <w:bidi/>
        <w:spacing w:line="360" w:lineRule="auto"/>
        <w:ind w:left="-115"/>
        <w:jc w:val="both"/>
        <w:rPr>
          <w:b/>
          <w:bCs/>
          <w:sz w:val="22"/>
          <w:szCs w:val="22"/>
          <w:rtl/>
        </w:rPr>
      </w:pPr>
      <w:r>
        <w:rPr>
          <w:rFonts w:ascii="David" w:hAnsi="David" w:hint="cs"/>
          <w:color w:val="000000"/>
          <w:sz w:val="22"/>
          <w:szCs w:val="22"/>
          <w:rtl/>
        </w:rPr>
        <w:t>תע"א (י-ם)</w:t>
      </w:r>
      <w:r w:rsidRPr="004A3CD9">
        <w:rPr>
          <w:rFonts w:ascii="David" w:hAnsi="David"/>
          <w:color w:val="000000"/>
          <w:sz w:val="22"/>
          <w:szCs w:val="22"/>
          <w:rtl/>
        </w:rPr>
        <w:t xml:space="preserve"> </w:t>
      </w:r>
      <w:r>
        <w:rPr>
          <w:rFonts w:ascii="David" w:hAnsi="David" w:hint="cs"/>
          <w:color w:val="000000"/>
          <w:sz w:val="22"/>
          <w:szCs w:val="22"/>
          <w:rtl/>
        </w:rPr>
        <w:t xml:space="preserve">1511-08 </w:t>
      </w:r>
      <w:r w:rsidRPr="004A3CD9">
        <w:rPr>
          <w:color w:val="FF0000"/>
          <w:sz w:val="22"/>
          <w:szCs w:val="22"/>
        </w:rPr>
        <w:t>●</w:t>
      </w:r>
      <w:r w:rsidRPr="004A3CD9">
        <w:rPr>
          <w:rFonts w:hint="cs"/>
          <w:color w:val="2B003A"/>
          <w:sz w:val="22"/>
          <w:szCs w:val="22"/>
          <w:rtl/>
        </w:rPr>
        <w:t xml:space="preserve"> </w:t>
      </w:r>
      <w:r w:rsidRPr="00014E5E">
        <w:rPr>
          <w:rFonts w:ascii="David" w:hAnsi="David" w:hint="cs"/>
          <w:b/>
          <w:bCs/>
          <w:color w:val="FF0000"/>
          <w:sz w:val="22"/>
          <w:szCs w:val="22"/>
          <w:rtl/>
        </w:rPr>
        <w:t>רחמים דבר נ' החברה לאוטומציה ואח'</w:t>
      </w:r>
      <w:r w:rsidRPr="00014E5E">
        <w:rPr>
          <w:rFonts w:ascii="David" w:hAnsi="David" w:hint="cs"/>
          <w:color w:val="FF0000"/>
          <w:sz w:val="22"/>
          <w:szCs w:val="22"/>
          <w:rtl/>
        </w:rPr>
        <w:t xml:space="preserve"> </w:t>
      </w:r>
      <w:r w:rsidRPr="002D18AF">
        <w:rPr>
          <w:rFonts w:ascii="David" w:hAnsi="David" w:hint="cs"/>
          <w:color w:val="000000"/>
          <w:sz w:val="22"/>
          <w:szCs w:val="22"/>
          <w:rtl/>
        </w:rPr>
        <w:t>(</w:t>
      </w:r>
      <w:r>
        <w:rPr>
          <w:rFonts w:ascii="David" w:hAnsi="David" w:hint="cs"/>
          <w:color w:val="000000"/>
          <w:sz w:val="22"/>
          <w:szCs w:val="22"/>
          <w:rtl/>
        </w:rPr>
        <w:t>8.3.13</w:t>
      </w:r>
      <w:r w:rsidRPr="002D18AF">
        <w:rPr>
          <w:rFonts w:ascii="David" w:hAnsi="David" w:hint="cs"/>
          <w:color w:val="000000"/>
          <w:sz w:val="22"/>
          <w:szCs w:val="22"/>
          <w:rtl/>
        </w:rPr>
        <w:t xml:space="preserve">) </w:t>
      </w:r>
      <w:r w:rsidRPr="002D18AF">
        <w:rPr>
          <w:rFonts w:ascii="David" w:hAnsi="David"/>
          <w:color w:val="000000"/>
          <w:sz w:val="22"/>
          <w:szCs w:val="22"/>
        </w:rPr>
        <w:t xml:space="preserve"> </w:t>
      </w:r>
      <w:r w:rsidRPr="004A3CD9">
        <w:rPr>
          <w:color w:val="FF0000"/>
          <w:sz w:val="22"/>
          <w:szCs w:val="22"/>
        </w:rPr>
        <w:t>●</w:t>
      </w:r>
      <w:r w:rsidRPr="002D18AF">
        <w:rPr>
          <w:rFonts w:ascii="David" w:hAnsi="David" w:hint="cs"/>
          <w:color w:val="000000"/>
          <w:sz w:val="22"/>
          <w:szCs w:val="22"/>
          <w:rtl/>
        </w:rPr>
        <w:t xml:space="preserve">בפני כבוד </w:t>
      </w:r>
      <w:r>
        <w:rPr>
          <w:rFonts w:ascii="David" w:hAnsi="David" w:hint="cs"/>
          <w:color w:val="000000"/>
          <w:sz w:val="22"/>
          <w:szCs w:val="22"/>
          <w:rtl/>
        </w:rPr>
        <w:t>השופטת שרה שדיאור</w:t>
      </w:r>
      <w:r w:rsidRPr="002D18AF">
        <w:rPr>
          <w:rFonts w:ascii="David" w:hAnsi="David" w:hint="cs"/>
          <w:color w:val="000000"/>
          <w:sz w:val="22"/>
          <w:szCs w:val="22"/>
          <w:rtl/>
        </w:rPr>
        <w:t>, נ.</w:t>
      </w:r>
      <w:r>
        <w:rPr>
          <w:rFonts w:ascii="David" w:hAnsi="David" w:hint="cs"/>
          <w:color w:val="000000"/>
          <w:sz w:val="22"/>
          <w:szCs w:val="22"/>
          <w:rtl/>
        </w:rPr>
        <w:t>ע</w:t>
      </w:r>
      <w:r w:rsidRPr="002D18AF">
        <w:rPr>
          <w:rFonts w:ascii="David" w:hAnsi="David" w:hint="cs"/>
          <w:color w:val="000000"/>
          <w:sz w:val="22"/>
          <w:szCs w:val="22"/>
          <w:rtl/>
        </w:rPr>
        <w:t xml:space="preserve">. מר </w:t>
      </w:r>
      <w:r>
        <w:rPr>
          <w:rFonts w:ascii="David" w:hAnsi="David" w:hint="cs"/>
          <w:color w:val="000000"/>
          <w:sz w:val="22"/>
          <w:szCs w:val="22"/>
          <w:rtl/>
        </w:rPr>
        <w:t>זאב אפיק</w:t>
      </w:r>
      <w:r w:rsidRPr="002D18AF">
        <w:rPr>
          <w:rFonts w:ascii="David" w:hAnsi="David" w:hint="cs"/>
          <w:color w:val="000000"/>
          <w:sz w:val="22"/>
          <w:szCs w:val="22"/>
          <w:rtl/>
        </w:rPr>
        <w:t>, נ.</w:t>
      </w:r>
      <w:r>
        <w:rPr>
          <w:rFonts w:ascii="David" w:hAnsi="David" w:hint="cs"/>
          <w:color w:val="000000"/>
          <w:sz w:val="22"/>
          <w:szCs w:val="22"/>
          <w:rtl/>
        </w:rPr>
        <w:t>מ</w:t>
      </w:r>
      <w:r w:rsidRPr="002D18AF">
        <w:rPr>
          <w:rFonts w:ascii="David" w:hAnsi="David" w:hint="cs"/>
          <w:color w:val="000000"/>
          <w:sz w:val="22"/>
          <w:szCs w:val="22"/>
          <w:rtl/>
        </w:rPr>
        <w:t xml:space="preserve">. </w:t>
      </w:r>
      <w:r>
        <w:rPr>
          <w:rFonts w:ascii="David" w:hAnsi="David" w:hint="cs"/>
          <w:color w:val="000000"/>
          <w:sz w:val="22"/>
          <w:szCs w:val="22"/>
          <w:rtl/>
        </w:rPr>
        <w:t>מר אילן לוי</w:t>
      </w:r>
    </w:p>
    <w:p w:rsidR="000118BE" w:rsidRPr="00BD3500" w:rsidRDefault="000118BE" w:rsidP="00A8553B">
      <w:pPr>
        <w:numPr>
          <w:ilvl w:val="0"/>
          <w:numId w:val="11"/>
        </w:numPr>
        <w:tabs>
          <w:tab w:val="clear" w:pos="720"/>
          <w:tab w:val="left" w:pos="-334"/>
          <w:tab w:val="num" w:pos="44"/>
        </w:tabs>
        <w:bidi/>
        <w:spacing w:line="360" w:lineRule="auto"/>
        <w:ind w:left="584" w:hanging="540"/>
        <w:jc w:val="both"/>
        <w:rPr>
          <w:rFonts w:ascii="Arial" w:hAnsi="Arial"/>
          <w:b/>
          <w:bCs/>
          <w:color w:val="0000FF"/>
          <w:sz w:val="24"/>
          <w:u w:val="single"/>
          <w:rtl/>
        </w:rPr>
      </w:pPr>
      <w:r w:rsidRPr="00BD3500">
        <w:rPr>
          <w:rFonts w:ascii="Arial" w:hAnsi="Arial" w:hint="cs"/>
          <w:b/>
          <w:bCs/>
          <w:color w:val="0000FF"/>
          <w:sz w:val="24"/>
          <w:u w:val="single"/>
          <w:rtl/>
        </w:rPr>
        <w:lastRenderedPageBreak/>
        <w:t>תקדים- בין חבר הקיבוץ לקיבוץ מתחדש בשירותו הוא עובד ושבו חל שינוי מהותי באופיו השתופי, מתקיימים יחסי עובד ומעביד</w:t>
      </w:r>
    </w:p>
    <w:p w:rsidR="000118BE" w:rsidRPr="00B36B47" w:rsidRDefault="000118BE" w:rsidP="00D33E77">
      <w:pPr>
        <w:tabs>
          <w:tab w:val="left" w:pos="70"/>
        </w:tabs>
        <w:bidi/>
        <w:ind w:left="70"/>
        <w:jc w:val="both"/>
        <w:rPr>
          <w:b/>
          <w:bCs/>
          <w:sz w:val="24"/>
          <w:rtl/>
        </w:rPr>
      </w:pPr>
    </w:p>
    <w:p w:rsidR="000118BE" w:rsidRDefault="000118BE" w:rsidP="00A8553B">
      <w:pPr>
        <w:tabs>
          <w:tab w:val="left" w:pos="-110"/>
        </w:tabs>
        <w:bidi/>
        <w:spacing w:line="360" w:lineRule="auto"/>
        <w:ind w:left="-115"/>
        <w:jc w:val="both"/>
        <w:rPr>
          <w:b/>
          <w:bCs/>
          <w:color w:val="000000"/>
          <w:rtl/>
        </w:rPr>
      </w:pPr>
      <w:r w:rsidRPr="001B4C45">
        <w:rPr>
          <w:b/>
          <w:bCs/>
          <w:color w:val="000000"/>
          <w:rtl/>
        </w:rPr>
        <w:t xml:space="preserve">ביה"ד </w:t>
      </w:r>
      <w:r w:rsidRPr="001B4C45">
        <w:rPr>
          <w:rFonts w:hint="cs"/>
          <w:b/>
          <w:bCs/>
          <w:color w:val="000000"/>
          <w:rtl/>
        </w:rPr>
        <w:t xml:space="preserve">האזורי לעבודה בנצרת </w:t>
      </w:r>
      <w:r w:rsidRPr="001B4C45">
        <w:rPr>
          <w:b/>
          <w:bCs/>
          <w:color w:val="000000"/>
          <w:rtl/>
        </w:rPr>
        <w:t>קבע, לראשונה, כי נשמט הבסיס להחלת ההלכה הפסוקה לפיה אין מתקיימים יחסי עובד ומעביד בין חבר הקיבוץ לקיבוץ בשירותו הוא עובד, עת מדובר בקיבוץ בו נערך "שינוי באורחות החיים" (קיבוץ מתחדש); ביה</w:t>
      </w:r>
      <w:r>
        <w:rPr>
          <w:b/>
          <w:bCs/>
          <w:color w:val="000000"/>
          <w:rtl/>
        </w:rPr>
        <w:t>"ד פסק כי בין התובע, חבר הקיבוץ</w:t>
      </w:r>
      <w:r>
        <w:rPr>
          <w:rFonts w:hint="cs"/>
          <w:b/>
          <w:bCs/>
          <w:color w:val="000000"/>
          <w:rtl/>
        </w:rPr>
        <w:t>, ו</w:t>
      </w:r>
      <w:r w:rsidRPr="001B4C45">
        <w:rPr>
          <w:b/>
          <w:bCs/>
          <w:color w:val="000000"/>
          <w:rtl/>
        </w:rPr>
        <w:t>בין הנתבעים</w:t>
      </w:r>
      <w:r w:rsidRPr="001B4C45">
        <w:rPr>
          <w:rFonts w:hint="cs"/>
          <w:b/>
          <w:bCs/>
          <w:color w:val="000000"/>
          <w:rtl/>
        </w:rPr>
        <w:t xml:space="preserve"> </w:t>
      </w:r>
      <w:r>
        <w:rPr>
          <w:rFonts w:hint="cs"/>
          <w:b/>
          <w:bCs/>
          <w:color w:val="000000"/>
          <w:rtl/>
        </w:rPr>
        <w:t>-</w:t>
      </w:r>
      <w:r w:rsidRPr="001B4C45">
        <w:rPr>
          <w:rFonts w:hint="cs"/>
          <w:b/>
          <w:bCs/>
          <w:color w:val="000000"/>
          <w:rtl/>
        </w:rPr>
        <w:t xml:space="preserve"> </w:t>
      </w:r>
      <w:r w:rsidRPr="001B4C45">
        <w:rPr>
          <w:b/>
          <w:bCs/>
          <w:color w:val="000000"/>
          <w:rtl/>
        </w:rPr>
        <w:t>הקיבוץ וענף המדגה בו עבד, התקיימו יחסי עובד ומעביד, החל מהמועד בו הוחלו עקרונות "שינוי אורחות החיים", והחל ממנו התקיימו גם הסממנים העיקריים הנוספים לעניין יחסים מסוג זה, דהיינו בחירת התובע במכרז ותשלום שכר דיפרנציאלי.</w:t>
      </w:r>
      <w:r>
        <w:rPr>
          <w:rFonts w:hint="cs"/>
          <w:b/>
          <w:bCs/>
          <w:color w:val="000000"/>
          <w:rtl/>
        </w:rPr>
        <w:t xml:space="preserve"> </w:t>
      </w:r>
      <w:r w:rsidRPr="001B4C45">
        <w:rPr>
          <w:b/>
          <w:bCs/>
          <w:color w:val="000000"/>
          <w:rtl/>
        </w:rPr>
        <w:t>בפסיקה שעניינה</w:t>
      </w:r>
      <w:r w:rsidRPr="001B4C45">
        <w:rPr>
          <w:b/>
          <w:bCs/>
          <w:color w:val="000000"/>
        </w:rPr>
        <w:t xml:space="preserve"> </w:t>
      </w:r>
      <w:r w:rsidRPr="001B4C45">
        <w:rPr>
          <w:b/>
          <w:bCs/>
          <w:color w:val="000000"/>
          <w:rtl/>
        </w:rPr>
        <w:t>מסכת</w:t>
      </w:r>
      <w:r>
        <w:rPr>
          <w:rFonts w:hint="cs"/>
          <w:b/>
          <w:bCs/>
          <w:color w:val="000000"/>
          <w:rtl/>
        </w:rPr>
        <w:t xml:space="preserve"> </w:t>
      </w:r>
      <w:r w:rsidRPr="001B4C45">
        <w:rPr>
          <w:b/>
          <w:bCs/>
          <w:color w:val="000000"/>
          <w:rtl/>
        </w:rPr>
        <w:t>היחסים</w:t>
      </w:r>
      <w:r w:rsidRPr="001B4C45">
        <w:rPr>
          <w:b/>
          <w:bCs/>
          <w:color w:val="000000"/>
        </w:rPr>
        <w:t xml:space="preserve"> </w:t>
      </w:r>
      <w:r w:rsidRPr="001B4C45">
        <w:rPr>
          <w:b/>
          <w:bCs/>
          <w:color w:val="000000"/>
          <w:rtl/>
        </w:rPr>
        <w:t>שבין</w:t>
      </w:r>
      <w:r w:rsidRPr="001B4C45">
        <w:rPr>
          <w:b/>
          <w:bCs/>
          <w:color w:val="000000"/>
        </w:rPr>
        <w:t xml:space="preserve"> </w:t>
      </w:r>
      <w:r w:rsidRPr="001B4C45">
        <w:rPr>
          <w:b/>
          <w:bCs/>
          <w:color w:val="000000"/>
          <w:rtl/>
        </w:rPr>
        <w:t>חבר</w:t>
      </w:r>
      <w:r w:rsidRPr="001B4C45">
        <w:rPr>
          <w:b/>
          <w:bCs/>
          <w:color w:val="000000"/>
        </w:rPr>
        <w:t xml:space="preserve"> </w:t>
      </w:r>
      <w:r w:rsidRPr="001B4C45">
        <w:rPr>
          <w:b/>
          <w:bCs/>
          <w:color w:val="000000"/>
          <w:rtl/>
        </w:rPr>
        <w:t>הקיבוץ</w:t>
      </w:r>
      <w:r w:rsidRPr="001B4C45">
        <w:rPr>
          <w:b/>
          <w:bCs/>
          <w:color w:val="000000"/>
        </w:rPr>
        <w:t xml:space="preserve"> </w:t>
      </w:r>
      <w:r w:rsidRPr="001B4C45">
        <w:rPr>
          <w:b/>
          <w:bCs/>
          <w:color w:val="000000"/>
          <w:rtl/>
        </w:rPr>
        <w:t>לבין</w:t>
      </w:r>
      <w:r w:rsidRPr="001B4C45">
        <w:rPr>
          <w:b/>
          <w:bCs/>
          <w:color w:val="000000"/>
        </w:rPr>
        <w:t xml:space="preserve"> </w:t>
      </w:r>
      <w:r w:rsidRPr="001B4C45">
        <w:rPr>
          <w:b/>
          <w:bCs/>
          <w:color w:val="000000"/>
          <w:rtl/>
        </w:rPr>
        <w:t>הקיבוץ,</w:t>
      </w:r>
      <w:r w:rsidRPr="001B4C45">
        <w:rPr>
          <w:b/>
          <w:bCs/>
          <w:color w:val="000000"/>
        </w:rPr>
        <w:t xml:space="preserve"> </w:t>
      </w:r>
      <w:r w:rsidRPr="001B4C45">
        <w:rPr>
          <w:b/>
          <w:bCs/>
          <w:color w:val="000000"/>
          <w:rtl/>
        </w:rPr>
        <w:t>כפי</w:t>
      </w:r>
      <w:r w:rsidRPr="001B4C45">
        <w:rPr>
          <w:b/>
          <w:bCs/>
          <w:color w:val="000000"/>
        </w:rPr>
        <w:t xml:space="preserve"> </w:t>
      </w:r>
      <w:r w:rsidRPr="001B4C45">
        <w:rPr>
          <w:b/>
          <w:bCs/>
          <w:color w:val="000000"/>
          <w:rtl/>
        </w:rPr>
        <w:t>שהיא קיימת</w:t>
      </w:r>
      <w:r w:rsidRPr="001B4C45">
        <w:rPr>
          <w:b/>
          <w:bCs/>
          <w:color w:val="000000"/>
        </w:rPr>
        <w:t xml:space="preserve"> </w:t>
      </w:r>
      <w:r w:rsidRPr="001B4C45">
        <w:rPr>
          <w:b/>
          <w:bCs/>
          <w:color w:val="000000"/>
          <w:rtl/>
        </w:rPr>
        <w:t>ומתקיימת ב"קיבוץ</w:t>
      </w:r>
      <w:r>
        <w:rPr>
          <w:rFonts w:hint="cs"/>
          <w:b/>
          <w:bCs/>
          <w:color w:val="000000"/>
          <w:rtl/>
        </w:rPr>
        <w:t xml:space="preserve"> </w:t>
      </w:r>
      <w:r w:rsidRPr="001B4C45">
        <w:rPr>
          <w:b/>
          <w:bCs/>
          <w:color w:val="000000"/>
          <w:rtl/>
        </w:rPr>
        <w:t>המסורתי"</w:t>
      </w:r>
      <w:r w:rsidRPr="001B4C45">
        <w:rPr>
          <w:b/>
          <w:bCs/>
          <w:color w:val="000000"/>
        </w:rPr>
        <w:t xml:space="preserve"> </w:t>
      </w:r>
      <w:r w:rsidRPr="001B4C45">
        <w:rPr>
          <w:b/>
          <w:bCs/>
          <w:color w:val="000000"/>
          <w:rtl/>
        </w:rPr>
        <w:t>נקבע כי היא</w:t>
      </w:r>
      <w:r w:rsidRPr="001B4C45">
        <w:rPr>
          <w:b/>
          <w:bCs/>
          <w:color w:val="000000"/>
        </w:rPr>
        <w:t xml:space="preserve"> </w:t>
      </w:r>
      <w:r w:rsidRPr="001B4C45">
        <w:rPr>
          <w:b/>
          <w:bCs/>
          <w:color w:val="000000"/>
          <w:rtl/>
        </w:rPr>
        <w:t>איננה</w:t>
      </w:r>
      <w:r>
        <w:rPr>
          <w:rFonts w:hint="cs"/>
          <w:b/>
          <w:bCs/>
          <w:color w:val="000000"/>
          <w:rtl/>
        </w:rPr>
        <w:t xml:space="preserve"> </w:t>
      </w:r>
      <w:r w:rsidRPr="001B4C45">
        <w:rPr>
          <w:b/>
          <w:bCs/>
          <w:color w:val="000000"/>
          <w:rtl/>
        </w:rPr>
        <w:t>באה</w:t>
      </w:r>
      <w:r w:rsidRPr="001B4C45">
        <w:rPr>
          <w:b/>
          <w:bCs/>
          <w:color w:val="000000"/>
        </w:rPr>
        <w:t xml:space="preserve"> </w:t>
      </w:r>
      <w:r w:rsidRPr="001B4C45">
        <w:rPr>
          <w:b/>
          <w:bCs/>
          <w:color w:val="000000"/>
          <w:rtl/>
        </w:rPr>
        <w:t>בגדר</w:t>
      </w:r>
      <w:r w:rsidRPr="001B4C45">
        <w:rPr>
          <w:b/>
          <w:bCs/>
          <w:color w:val="000000"/>
        </w:rPr>
        <w:t xml:space="preserve"> </w:t>
      </w:r>
      <w:r w:rsidRPr="001B4C45">
        <w:rPr>
          <w:b/>
          <w:bCs/>
          <w:color w:val="000000"/>
          <w:rtl/>
        </w:rPr>
        <w:t>יחסי עובד-מעביד.</w:t>
      </w:r>
      <w:r w:rsidRPr="001B4C45">
        <w:rPr>
          <w:b/>
          <w:bCs/>
          <w:color w:val="000000"/>
        </w:rPr>
        <w:t xml:space="preserve"> </w:t>
      </w:r>
      <w:r w:rsidRPr="001B4C45">
        <w:rPr>
          <w:b/>
          <w:bCs/>
          <w:color w:val="000000"/>
          <w:rtl/>
        </w:rPr>
        <w:t xml:space="preserve">מודל השינוי בקיבוץ תל יוסף מעיד שחל שינוי מהותי ודרמטי באופיו ומהותו מתום שנת 2001. בנסיבות אלה, גם הבסיס ההסכמי בכל הנוגע לעבודה שמבצע חבר הקיבוץ עבור ענף או מפעל של הקיבוץ השתנה. מאז החלת השינוי, כושר ההתפרנסות של החבר כבר איננו קניינו של הקיבוץ. מדובר בשינוי מרחיק לכת ביחס למתכונת מערכת היחסים עובר להחלת השינוי, מכוחה כל חבר עבד לפי יכולתו ולפי קביעת הקיבוץ, ומנגד לכולם ניתן תקציב אחיד ללא כל זיקה לעבודתו. לפיכך, אין עוד מקום לבחון את היחסים בין הקיבוץ </w:t>
      </w:r>
      <w:r>
        <w:rPr>
          <w:rFonts w:hint="cs"/>
          <w:b/>
          <w:bCs/>
          <w:color w:val="000000"/>
          <w:rtl/>
        </w:rPr>
        <w:t xml:space="preserve">המתחדש </w:t>
      </w:r>
      <w:r w:rsidRPr="001B4C45">
        <w:rPr>
          <w:b/>
          <w:bCs/>
          <w:color w:val="000000"/>
          <w:rtl/>
        </w:rPr>
        <w:t>לבין חבר הקיבוץ המבצע עבודה בשירותו, על אותו הרקע של החברה השיתופית שבה שוויון מוחלט ושיתוף, במסגרתם כל אחד נותן כפי יכולתו ומקבל לפי צרכיו, תהא עבודתו אשר תהא</w:t>
      </w:r>
      <w:r>
        <w:rPr>
          <w:b/>
          <w:bCs/>
          <w:color w:val="000000"/>
          <w:rtl/>
        </w:rPr>
        <w:t xml:space="preserve"> ויהיו צרכיו אשר יהיו</w:t>
      </w:r>
      <w:r>
        <w:rPr>
          <w:rFonts w:hint="cs"/>
          <w:b/>
          <w:bCs/>
          <w:color w:val="000000"/>
          <w:rtl/>
        </w:rPr>
        <w:t>.</w:t>
      </w:r>
      <w:r w:rsidRPr="001B4C45">
        <w:rPr>
          <w:b/>
          <w:bCs/>
          <w:color w:val="000000"/>
          <w:rtl/>
        </w:rPr>
        <w:t xml:space="preserve"> </w:t>
      </w:r>
    </w:p>
    <w:p w:rsidR="000118BE" w:rsidRPr="001B4C45" w:rsidRDefault="000118BE" w:rsidP="00A8553B">
      <w:pPr>
        <w:tabs>
          <w:tab w:val="left" w:pos="-110"/>
        </w:tabs>
        <w:bidi/>
        <w:spacing w:line="360" w:lineRule="auto"/>
        <w:ind w:left="-115"/>
        <w:jc w:val="both"/>
        <w:rPr>
          <w:b/>
          <w:bCs/>
          <w:color w:val="000000"/>
          <w:rtl/>
        </w:rPr>
      </w:pPr>
      <w:r>
        <w:rPr>
          <w:rFonts w:hint="cs"/>
          <w:b/>
          <w:bCs/>
          <w:color w:val="000000"/>
          <w:rtl/>
        </w:rPr>
        <w:t xml:space="preserve">בית הדין פסק, כי </w:t>
      </w:r>
      <w:r w:rsidRPr="001B4C45">
        <w:rPr>
          <w:b/>
          <w:bCs/>
          <w:color w:val="000000"/>
          <w:rtl/>
        </w:rPr>
        <w:t xml:space="preserve">עם השינוי באורחות החיים ומרגע שהתקיימו הנסיבות הנ"ל, והחל ממנו בלבד, נולדו ונכרתו בין התובע לבין הקיבוץ והמדגה יחסי עובד ומעביד. </w:t>
      </w:r>
    </w:p>
    <w:p w:rsidR="000118BE" w:rsidRPr="00FB5B25" w:rsidRDefault="000118BE" w:rsidP="00A8553B">
      <w:pPr>
        <w:tabs>
          <w:tab w:val="left" w:pos="-110"/>
        </w:tabs>
        <w:bidi/>
        <w:spacing w:line="360" w:lineRule="auto"/>
        <w:ind w:left="-115"/>
        <w:jc w:val="both"/>
        <w:rPr>
          <w:b/>
          <w:bCs/>
          <w:sz w:val="22"/>
          <w:szCs w:val="22"/>
          <w:rtl/>
        </w:rPr>
      </w:pPr>
      <w:r>
        <w:rPr>
          <w:rFonts w:ascii="David" w:hAnsi="David" w:hint="cs"/>
          <w:color w:val="000000"/>
          <w:sz w:val="22"/>
          <w:szCs w:val="22"/>
          <w:rtl/>
        </w:rPr>
        <w:t>ס"ע 9261-03-11</w:t>
      </w:r>
      <w:r w:rsidRPr="007D1A23">
        <w:rPr>
          <w:color w:val="FF0000"/>
          <w:sz w:val="22"/>
          <w:szCs w:val="22"/>
        </w:rPr>
        <w:t xml:space="preserve">● </w:t>
      </w:r>
      <w:r w:rsidRPr="007D1A23">
        <w:rPr>
          <w:rFonts w:hint="cs"/>
          <w:color w:val="2B003A"/>
          <w:sz w:val="22"/>
          <w:szCs w:val="22"/>
          <w:rtl/>
        </w:rPr>
        <w:t xml:space="preserve"> </w:t>
      </w:r>
      <w:r w:rsidRPr="00014E5E">
        <w:rPr>
          <w:rFonts w:ascii="David" w:hAnsi="David" w:hint="cs"/>
          <w:b/>
          <w:bCs/>
          <w:color w:val="FF0000"/>
          <w:sz w:val="22"/>
          <w:szCs w:val="22"/>
          <w:rtl/>
        </w:rPr>
        <w:t>אבי בן אהרון</w:t>
      </w:r>
      <w:r w:rsidRPr="00014E5E">
        <w:rPr>
          <w:rFonts w:ascii="David" w:hAnsi="David"/>
          <w:b/>
          <w:bCs/>
          <w:color w:val="FF0000"/>
          <w:sz w:val="22"/>
          <w:szCs w:val="22"/>
          <w:rtl/>
        </w:rPr>
        <w:t xml:space="preserve"> נ' </w:t>
      </w:r>
      <w:r w:rsidRPr="00014E5E">
        <w:rPr>
          <w:rFonts w:ascii="David" w:hAnsi="David" w:hint="cs"/>
          <w:b/>
          <w:bCs/>
          <w:color w:val="FF0000"/>
          <w:sz w:val="22"/>
          <w:szCs w:val="22"/>
          <w:rtl/>
        </w:rPr>
        <w:t>קיבוץ תל יוסף אגודה שיתופית ואח'</w:t>
      </w:r>
      <w:r w:rsidRPr="00014E5E">
        <w:rPr>
          <w:rFonts w:ascii="David" w:hAnsi="David" w:hint="cs"/>
          <w:color w:val="FF0000"/>
          <w:sz w:val="22"/>
          <w:szCs w:val="22"/>
          <w:rtl/>
        </w:rPr>
        <w:t xml:space="preserve"> </w:t>
      </w:r>
      <w:r w:rsidRPr="0048743E">
        <w:rPr>
          <w:rFonts w:ascii="David" w:hAnsi="David" w:hint="cs"/>
          <w:color w:val="000000"/>
          <w:sz w:val="22"/>
          <w:szCs w:val="22"/>
          <w:rtl/>
        </w:rPr>
        <w:t>(</w:t>
      </w:r>
      <w:r>
        <w:rPr>
          <w:rFonts w:ascii="David" w:hAnsi="David" w:hint="cs"/>
          <w:color w:val="000000"/>
          <w:sz w:val="22"/>
          <w:szCs w:val="22"/>
          <w:rtl/>
        </w:rPr>
        <w:t>18</w:t>
      </w:r>
      <w:r w:rsidRPr="0048743E">
        <w:rPr>
          <w:rFonts w:ascii="David" w:hAnsi="David" w:hint="cs"/>
          <w:color w:val="000000"/>
          <w:sz w:val="22"/>
          <w:szCs w:val="22"/>
          <w:rtl/>
        </w:rPr>
        <w:t>.4.13</w:t>
      </w:r>
      <w:r w:rsidRPr="007D1A23">
        <w:rPr>
          <w:rFonts w:hint="cs"/>
          <w:color w:val="2B003A"/>
          <w:sz w:val="22"/>
          <w:szCs w:val="22"/>
          <w:rtl/>
        </w:rPr>
        <w:t xml:space="preserve">) </w:t>
      </w:r>
      <w:r w:rsidRPr="007D1A23">
        <w:rPr>
          <w:color w:val="FF0000"/>
          <w:sz w:val="22"/>
          <w:szCs w:val="22"/>
        </w:rPr>
        <w:t>●</w:t>
      </w:r>
      <w:r w:rsidRPr="007D1A23">
        <w:rPr>
          <w:rFonts w:hint="cs"/>
          <w:color w:val="2B003A"/>
          <w:sz w:val="22"/>
          <w:szCs w:val="22"/>
          <w:rtl/>
        </w:rPr>
        <w:t xml:space="preserve"> </w:t>
      </w:r>
      <w:r w:rsidRPr="0048743E">
        <w:rPr>
          <w:rFonts w:ascii="David" w:hAnsi="David" w:hint="cs"/>
          <w:color w:val="000000"/>
          <w:sz w:val="22"/>
          <w:szCs w:val="22"/>
          <w:rtl/>
        </w:rPr>
        <w:t xml:space="preserve">בפני כבוד </w:t>
      </w:r>
      <w:r>
        <w:rPr>
          <w:rFonts w:ascii="David" w:hAnsi="David" w:hint="cs"/>
          <w:color w:val="000000"/>
          <w:sz w:val="22"/>
          <w:szCs w:val="22"/>
          <w:rtl/>
        </w:rPr>
        <w:t>הנשיאה ורד שפר</w:t>
      </w:r>
    </w:p>
    <w:p w:rsidR="000118BE" w:rsidRPr="00BD3500" w:rsidRDefault="000118BE" w:rsidP="00A8553B">
      <w:pPr>
        <w:tabs>
          <w:tab w:val="left" w:pos="-110"/>
        </w:tabs>
        <w:bidi/>
        <w:spacing w:line="360" w:lineRule="auto"/>
        <w:ind w:left="-115"/>
        <w:jc w:val="both"/>
        <w:rPr>
          <w:b/>
          <w:bCs/>
          <w:color w:val="0000FF"/>
          <w:sz w:val="22"/>
          <w:szCs w:val="22"/>
          <w:rtl/>
        </w:rPr>
      </w:pPr>
    </w:p>
    <w:p w:rsidR="000118BE" w:rsidRPr="00BD3500" w:rsidRDefault="000118BE" w:rsidP="00A8553B">
      <w:pPr>
        <w:numPr>
          <w:ilvl w:val="0"/>
          <w:numId w:val="11"/>
        </w:numPr>
        <w:tabs>
          <w:tab w:val="clear" w:pos="720"/>
          <w:tab w:val="left" w:pos="-334"/>
          <w:tab w:val="num" w:pos="44"/>
        </w:tabs>
        <w:bidi/>
        <w:spacing w:line="360" w:lineRule="auto"/>
        <w:ind w:left="584" w:hanging="540"/>
        <w:jc w:val="both"/>
        <w:rPr>
          <w:rFonts w:ascii="Arial" w:hAnsi="Arial"/>
          <w:b/>
          <w:bCs/>
          <w:color w:val="0000FF"/>
          <w:sz w:val="24"/>
          <w:u w:val="single"/>
          <w:rtl/>
        </w:rPr>
      </w:pPr>
      <w:r w:rsidRPr="00BD3500">
        <w:rPr>
          <w:rFonts w:ascii="Arial" w:hAnsi="Arial" w:hint="cs"/>
          <w:b/>
          <w:bCs/>
          <w:color w:val="0000FF"/>
          <w:sz w:val="24"/>
          <w:u w:val="single"/>
          <w:rtl/>
        </w:rPr>
        <w:t>הכשרה מעשית כחלק מהשלמת תכנית לימודים להסמכה אינה יוצרת יחסי עובד-מעביד</w:t>
      </w:r>
    </w:p>
    <w:p w:rsidR="000118BE" w:rsidRPr="00F66D1B" w:rsidRDefault="000118BE" w:rsidP="00D33E77">
      <w:pPr>
        <w:tabs>
          <w:tab w:val="left" w:pos="-110"/>
        </w:tabs>
        <w:ind w:left="48" w:right="-180"/>
        <w:jc w:val="both"/>
        <w:rPr>
          <w:rFonts w:ascii="Arial" w:hAnsi="Arial"/>
          <w:b/>
          <w:bCs/>
          <w:color w:val="000080"/>
          <w:sz w:val="28"/>
          <w:szCs w:val="32"/>
          <w:u w:val="single"/>
          <w:rtl/>
        </w:rPr>
      </w:pPr>
    </w:p>
    <w:p w:rsidR="000118BE" w:rsidRPr="00DE5265" w:rsidRDefault="000118BE" w:rsidP="00A8553B">
      <w:pPr>
        <w:tabs>
          <w:tab w:val="left" w:pos="-110"/>
        </w:tabs>
        <w:bidi/>
        <w:spacing w:line="360" w:lineRule="auto"/>
        <w:ind w:left="-115"/>
        <w:jc w:val="both"/>
        <w:rPr>
          <w:b/>
          <w:bCs/>
          <w:sz w:val="24"/>
          <w:rtl/>
        </w:rPr>
      </w:pPr>
      <w:r w:rsidRPr="00DE5265">
        <w:rPr>
          <w:rFonts w:hint="cs"/>
          <w:b/>
          <w:bCs/>
          <w:sz w:val="24"/>
          <w:rtl/>
        </w:rPr>
        <w:t>בית הדין האזורי לעבודה דחה תביעה של סטודנטית למקצוע טכנולוגית רפואית שביצעה הכשרה מעשית במשך 10 חודשים כתנאי לקבלת הסמכה הנדסאית להצהיר כי בינה לבין מכבי שירותי בריאות התקיימו יחסי עובד מעביד. בית הדין קבע כי לא התקיימו בין הסטודנטית לבין מכבי יחסי עובד מעביד מהסיבות הבאות:</w:t>
      </w:r>
    </w:p>
    <w:p w:rsidR="000118BE" w:rsidRDefault="000118BE" w:rsidP="00A8553B">
      <w:pPr>
        <w:numPr>
          <w:ilvl w:val="0"/>
          <w:numId w:val="41"/>
        </w:numPr>
        <w:tabs>
          <w:tab w:val="left" w:pos="-290"/>
          <w:tab w:val="num" w:pos="389"/>
        </w:tabs>
        <w:bidi/>
        <w:spacing w:line="360" w:lineRule="auto"/>
        <w:jc w:val="both"/>
        <w:rPr>
          <w:b/>
          <w:bCs/>
          <w:sz w:val="24"/>
        </w:rPr>
      </w:pPr>
      <w:r w:rsidRPr="00DE5265">
        <w:rPr>
          <w:rFonts w:hint="cs"/>
          <w:b/>
          <w:bCs/>
          <w:sz w:val="24"/>
          <w:rtl/>
        </w:rPr>
        <w:t>הסטודנטית</w:t>
      </w:r>
      <w:r w:rsidRPr="00DE5265">
        <w:rPr>
          <w:b/>
          <w:bCs/>
          <w:sz w:val="24"/>
          <w:rtl/>
        </w:rPr>
        <w:t xml:space="preserve"> החלה בהכשרה במכבי בעקבות הפניית בית הספר ללא שנערך לה במכבי ראיון קבלה לעבודה אלא שיחת תיאום צ</w:t>
      </w:r>
      <w:r>
        <w:rPr>
          <w:b/>
          <w:bCs/>
          <w:sz w:val="24"/>
          <w:rtl/>
        </w:rPr>
        <w:t>יפיות בלבד, בסמוך לתחילת ההכשרה</w:t>
      </w:r>
      <w:r>
        <w:rPr>
          <w:rFonts w:hint="cs"/>
          <w:b/>
          <w:bCs/>
          <w:sz w:val="24"/>
          <w:rtl/>
        </w:rPr>
        <w:t>.</w:t>
      </w:r>
    </w:p>
    <w:p w:rsidR="000118BE" w:rsidRDefault="000118BE" w:rsidP="00A8553B">
      <w:pPr>
        <w:numPr>
          <w:ilvl w:val="0"/>
          <w:numId w:val="41"/>
        </w:numPr>
        <w:tabs>
          <w:tab w:val="left" w:pos="-290"/>
          <w:tab w:val="num" w:pos="389"/>
        </w:tabs>
        <w:bidi/>
        <w:spacing w:line="360" w:lineRule="auto"/>
        <w:jc w:val="both"/>
        <w:rPr>
          <w:b/>
          <w:bCs/>
          <w:sz w:val="24"/>
        </w:rPr>
      </w:pPr>
      <w:r w:rsidRPr="00DE5265">
        <w:rPr>
          <w:rFonts w:hint="cs"/>
          <w:b/>
          <w:bCs/>
          <w:sz w:val="24"/>
          <w:rtl/>
        </w:rPr>
        <w:t>ההכשרה הייתה</w:t>
      </w:r>
      <w:r w:rsidRPr="00DE5265">
        <w:rPr>
          <w:b/>
          <w:bCs/>
          <w:sz w:val="24"/>
          <w:rtl/>
        </w:rPr>
        <w:t xml:space="preserve"> הכשרה מעשית שהינה חלק מתוכנית הלימודים ותנאי להשלמתה ולקבלת ההסמכה, כמו גם חובת ה</w:t>
      </w:r>
      <w:r w:rsidRPr="00DE5265">
        <w:rPr>
          <w:rFonts w:hint="cs"/>
          <w:b/>
          <w:bCs/>
          <w:sz w:val="24"/>
          <w:rtl/>
        </w:rPr>
        <w:t>סטודנטית</w:t>
      </w:r>
      <w:r w:rsidRPr="00DE5265">
        <w:rPr>
          <w:b/>
          <w:bCs/>
          <w:sz w:val="24"/>
          <w:rtl/>
        </w:rPr>
        <w:t xml:space="preserve"> להגיש פרויקט גמר.</w:t>
      </w:r>
    </w:p>
    <w:p w:rsidR="000118BE" w:rsidRDefault="000118BE" w:rsidP="00A8553B">
      <w:pPr>
        <w:numPr>
          <w:ilvl w:val="0"/>
          <w:numId w:val="41"/>
        </w:numPr>
        <w:tabs>
          <w:tab w:val="left" w:pos="-290"/>
          <w:tab w:val="num" w:pos="389"/>
        </w:tabs>
        <w:bidi/>
        <w:spacing w:line="360" w:lineRule="auto"/>
        <w:jc w:val="both"/>
        <w:rPr>
          <w:b/>
          <w:bCs/>
          <w:sz w:val="24"/>
        </w:rPr>
      </w:pPr>
      <w:r w:rsidRPr="00DE5265">
        <w:rPr>
          <w:rFonts w:hint="cs"/>
          <w:b/>
          <w:bCs/>
          <w:sz w:val="24"/>
          <w:rtl/>
        </w:rPr>
        <w:t xml:space="preserve">בהסכם בין בית הספר למכבי ובהסכם בין מכבי לסטאז'רית נקבע כי ההכשרה המעשית אינה יוצרת יחסי עבודה.  </w:t>
      </w:r>
    </w:p>
    <w:p w:rsidR="000118BE" w:rsidRDefault="000118BE" w:rsidP="00A8553B">
      <w:pPr>
        <w:numPr>
          <w:ilvl w:val="0"/>
          <w:numId w:val="41"/>
        </w:numPr>
        <w:tabs>
          <w:tab w:val="left" w:pos="-290"/>
          <w:tab w:val="num" w:pos="389"/>
        </w:tabs>
        <w:bidi/>
        <w:spacing w:line="360" w:lineRule="auto"/>
        <w:jc w:val="both"/>
        <w:rPr>
          <w:b/>
          <w:bCs/>
          <w:sz w:val="24"/>
        </w:rPr>
      </w:pPr>
      <w:r w:rsidRPr="00DE5265">
        <w:rPr>
          <w:rFonts w:hint="cs"/>
          <w:b/>
          <w:bCs/>
          <w:sz w:val="24"/>
          <w:rtl/>
        </w:rPr>
        <w:t>הסטודנטית</w:t>
      </w:r>
      <w:r w:rsidRPr="00DE5265">
        <w:rPr>
          <w:b/>
          <w:bCs/>
          <w:sz w:val="24"/>
          <w:rtl/>
        </w:rPr>
        <w:t xml:space="preserve"> לא הוכיחה כי נכחה באופן סדיר וקבוע קבוע </w:t>
      </w:r>
      <w:r w:rsidRPr="00DE5265">
        <w:rPr>
          <w:rFonts w:hint="cs"/>
          <w:b/>
          <w:bCs/>
          <w:sz w:val="24"/>
          <w:rtl/>
        </w:rPr>
        <w:t>במכבי וכן הסטודנטית</w:t>
      </w:r>
      <w:r w:rsidRPr="00DE5265">
        <w:rPr>
          <w:b/>
          <w:bCs/>
          <w:sz w:val="24"/>
          <w:rtl/>
        </w:rPr>
        <w:t xml:space="preserve"> לא הציגה רישום כלשהו שערכה לגבי שעות ההכשרה ולא הביאה עדים מטעמה להוכחת שעות עבודתה.</w:t>
      </w:r>
    </w:p>
    <w:p w:rsidR="000118BE" w:rsidRDefault="000118BE" w:rsidP="00A8553B">
      <w:pPr>
        <w:numPr>
          <w:ilvl w:val="0"/>
          <w:numId w:val="41"/>
        </w:numPr>
        <w:tabs>
          <w:tab w:val="left" w:pos="-290"/>
          <w:tab w:val="num" w:pos="389"/>
        </w:tabs>
        <w:bidi/>
        <w:spacing w:line="360" w:lineRule="auto"/>
        <w:jc w:val="both"/>
        <w:rPr>
          <w:b/>
          <w:bCs/>
          <w:sz w:val="24"/>
        </w:rPr>
      </w:pPr>
      <w:r w:rsidRPr="00DE5265">
        <w:rPr>
          <w:b/>
          <w:bCs/>
          <w:sz w:val="24"/>
          <w:rtl/>
        </w:rPr>
        <w:lastRenderedPageBreak/>
        <w:t>בניגוד לעובדים מן המניין של מכבי, למכבי לא היה פיקוח צמוד על שעות עבודתה של ה</w:t>
      </w:r>
      <w:r w:rsidRPr="00DE5265">
        <w:rPr>
          <w:rFonts w:hint="cs"/>
          <w:b/>
          <w:bCs/>
          <w:sz w:val="24"/>
          <w:rtl/>
        </w:rPr>
        <w:t>סטודנטית</w:t>
      </w:r>
      <w:r>
        <w:rPr>
          <w:b/>
          <w:bCs/>
          <w:sz w:val="24"/>
          <w:rtl/>
        </w:rPr>
        <w:t xml:space="preserve">, ולא היה לה כרטיס נוכחות. </w:t>
      </w:r>
    </w:p>
    <w:p w:rsidR="000118BE" w:rsidRDefault="000118BE" w:rsidP="00A8553B">
      <w:pPr>
        <w:numPr>
          <w:ilvl w:val="0"/>
          <w:numId w:val="41"/>
        </w:numPr>
        <w:tabs>
          <w:tab w:val="left" w:pos="-290"/>
          <w:tab w:val="num" w:pos="389"/>
        </w:tabs>
        <w:bidi/>
        <w:spacing w:line="360" w:lineRule="auto"/>
        <w:jc w:val="both"/>
        <w:rPr>
          <w:b/>
          <w:bCs/>
          <w:sz w:val="24"/>
        </w:rPr>
      </w:pPr>
      <w:r w:rsidRPr="00DE5265">
        <w:rPr>
          <w:rFonts w:hint="cs"/>
          <w:b/>
          <w:bCs/>
          <w:sz w:val="24"/>
          <w:rtl/>
        </w:rPr>
        <w:t xml:space="preserve">הסטודנטית </w:t>
      </w:r>
      <w:r w:rsidRPr="00DE5265">
        <w:rPr>
          <w:b/>
          <w:bCs/>
          <w:sz w:val="24"/>
          <w:rtl/>
        </w:rPr>
        <w:t>לא השתלבה במערך הארגוני או במערך כח האדם במכבי, במהלך הכשרתה הוצמדה למי מעובדי מכבי שלימד אותה ופיקח על פעולותיה, ובהעדרה לא נזקקה לפיכך מכבי לעובד אחר במקומה של ה</w:t>
      </w:r>
      <w:r w:rsidRPr="00DE5265">
        <w:rPr>
          <w:rFonts w:hint="cs"/>
          <w:b/>
          <w:bCs/>
          <w:sz w:val="24"/>
          <w:rtl/>
        </w:rPr>
        <w:t>סטודנטית.</w:t>
      </w:r>
    </w:p>
    <w:p w:rsidR="000118BE" w:rsidRDefault="000118BE" w:rsidP="00A8553B">
      <w:pPr>
        <w:numPr>
          <w:ilvl w:val="0"/>
          <w:numId w:val="41"/>
        </w:numPr>
        <w:tabs>
          <w:tab w:val="left" w:pos="-290"/>
          <w:tab w:val="num" w:pos="389"/>
        </w:tabs>
        <w:bidi/>
        <w:spacing w:line="360" w:lineRule="auto"/>
        <w:jc w:val="both"/>
        <w:rPr>
          <w:b/>
          <w:bCs/>
          <w:sz w:val="24"/>
        </w:rPr>
      </w:pPr>
      <w:r w:rsidRPr="00DE5265">
        <w:rPr>
          <w:rFonts w:hint="cs"/>
          <w:b/>
          <w:bCs/>
          <w:sz w:val="24"/>
          <w:rtl/>
        </w:rPr>
        <w:t>הסטודנטית</w:t>
      </w:r>
      <w:r w:rsidRPr="00DE5265">
        <w:rPr>
          <w:b/>
          <w:bCs/>
          <w:sz w:val="24"/>
          <w:rtl/>
        </w:rPr>
        <w:t xml:space="preserve"> לא עבדה באופן עצמאי, אלא, עבדה תמיד במ</w:t>
      </w:r>
      <w:r>
        <w:rPr>
          <w:b/>
          <w:bCs/>
          <w:sz w:val="24"/>
          <w:rtl/>
        </w:rPr>
        <w:t>קביל לעובדים אחרים ותחת פיקוחם.</w:t>
      </w:r>
    </w:p>
    <w:p w:rsidR="000118BE" w:rsidRDefault="000118BE" w:rsidP="00A8553B">
      <w:pPr>
        <w:numPr>
          <w:ilvl w:val="0"/>
          <w:numId w:val="41"/>
        </w:numPr>
        <w:tabs>
          <w:tab w:val="left" w:pos="-290"/>
          <w:tab w:val="num" w:pos="389"/>
        </w:tabs>
        <w:bidi/>
        <w:spacing w:line="360" w:lineRule="auto"/>
        <w:jc w:val="both"/>
        <w:rPr>
          <w:b/>
          <w:bCs/>
          <w:sz w:val="24"/>
        </w:rPr>
      </w:pPr>
      <w:r w:rsidRPr="00DE5265">
        <w:rPr>
          <w:b/>
          <w:bCs/>
          <w:sz w:val="24"/>
          <w:rtl/>
        </w:rPr>
        <w:t xml:space="preserve">באשר לאופי ההכשרה, בחלק מהבדיקות </w:t>
      </w:r>
      <w:r w:rsidRPr="00DE5265">
        <w:rPr>
          <w:rFonts w:hint="cs"/>
          <w:b/>
          <w:bCs/>
          <w:sz w:val="24"/>
          <w:rtl/>
        </w:rPr>
        <w:t xml:space="preserve">הסטודנטית </w:t>
      </w:r>
      <w:r w:rsidRPr="00DE5265">
        <w:rPr>
          <w:b/>
          <w:bCs/>
          <w:sz w:val="24"/>
          <w:rtl/>
        </w:rPr>
        <w:t>צפתה בלבד, את חלקן, לאחר תקופת הכשרה של מס' חודשים ביצעה בעצמה ואת חלקן ביצעה תח</w:t>
      </w:r>
      <w:r>
        <w:rPr>
          <w:b/>
          <w:bCs/>
          <w:sz w:val="24"/>
          <w:rtl/>
        </w:rPr>
        <w:t>ת השגחה ופיקוח, לא באופן עצמאי.</w:t>
      </w:r>
    </w:p>
    <w:p w:rsidR="000118BE" w:rsidRPr="00DE5265" w:rsidRDefault="000118BE" w:rsidP="00A8553B">
      <w:pPr>
        <w:numPr>
          <w:ilvl w:val="0"/>
          <w:numId w:val="41"/>
        </w:numPr>
        <w:tabs>
          <w:tab w:val="left" w:pos="-290"/>
          <w:tab w:val="num" w:pos="389"/>
        </w:tabs>
        <w:bidi/>
        <w:spacing w:line="360" w:lineRule="auto"/>
        <w:jc w:val="both"/>
        <w:rPr>
          <w:b/>
          <w:bCs/>
          <w:sz w:val="24"/>
          <w:rtl/>
        </w:rPr>
      </w:pPr>
      <w:r w:rsidRPr="00DE5265">
        <w:rPr>
          <w:b/>
          <w:bCs/>
          <w:sz w:val="24"/>
          <w:rtl/>
        </w:rPr>
        <w:t>תקופת ההכשרה היתה קצרה יחסית ומוגדרת מראש בזמן, וכחלק מתכנית הלימודים ותנאי לקבלת ההסמכה.</w:t>
      </w:r>
    </w:p>
    <w:p w:rsidR="000118BE" w:rsidRPr="00DE5265" w:rsidRDefault="000118BE" w:rsidP="00A8553B">
      <w:pPr>
        <w:tabs>
          <w:tab w:val="left" w:pos="-110"/>
        </w:tabs>
        <w:bidi/>
        <w:spacing w:line="360" w:lineRule="auto"/>
        <w:ind w:left="-115"/>
        <w:jc w:val="both"/>
        <w:rPr>
          <w:b/>
          <w:bCs/>
          <w:sz w:val="24"/>
          <w:rtl/>
        </w:rPr>
      </w:pPr>
      <w:r w:rsidRPr="00DE5265">
        <w:rPr>
          <w:rFonts w:hint="cs"/>
          <w:b/>
          <w:bCs/>
          <w:sz w:val="24"/>
          <w:rtl/>
        </w:rPr>
        <w:t xml:space="preserve">לפיכך בית הדין קבע כי לא התקיימו בין הסטודנטית </w:t>
      </w:r>
      <w:r w:rsidRPr="00DE5265">
        <w:rPr>
          <w:b/>
          <w:bCs/>
          <w:sz w:val="24"/>
          <w:rtl/>
        </w:rPr>
        <w:t>לבין מכבי יחסי עובד מעביד</w:t>
      </w:r>
      <w:r w:rsidRPr="00DE5265">
        <w:rPr>
          <w:rFonts w:hint="cs"/>
          <w:b/>
          <w:bCs/>
          <w:sz w:val="24"/>
          <w:rtl/>
        </w:rPr>
        <w:t xml:space="preserve"> וכי הסטודנטית </w:t>
      </w:r>
      <w:r w:rsidRPr="00DE5265">
        <w:rPr>
          <w:b/>
          <w:bCs/>
          <w:sz w:val="24"/>
          <w:rtl/>
        </w:rPr>
        <w:t xml:space="preserve"> תשלם ל</w:t>
      </w:r>
      <w:r w:rsidRPr="00DE5265">
        <w:rPr>
          <w:rFonts w:hint="cs"/>
          <w:b/>
          <w:bCs/>
          <w:sz w:val="24"/>
          <w:rtl/>
        </w:rPr>
        <w:t xml:space="preserve">מכבי </w:t>
      </w:r>
      <w:r w:rsidRPr="00DE5265">
        <w:rPr>
          <w:b/>
          <w:bCs/>
          <w:sz w:val="24"/>
          <w:rtl/>
        </w:rPr>
        <w:t xml:space="preserve"> הוצאות משפט בסך 500 ₪ ושכ"ט עו"ד בסך 7,500 ₪</w:t>
      </w:r>
      <w:r w:rsidRPr="00DE5265">
        <w:rPr>
          <w:rFonts w:hint="cs"/>
          <w:b/>
          <w:bCs/>
          <w:sz w:val="24"/>
          <w:rtl/>
        </w:rPr>
        <w:t>.</w:t>
      </w:r>
    </w:p>
    <w:p w:rsidR="000118BE" w:rsidRDefault="000118BE" w:rsidP="00A8553B">
      <w:pPr>
        <w:tabs>
          <w:tab w:val="left" w:pos="-110"/>
        </w:tabs>
        <w:bidi/>
        <w:spacing w:line="360" w:lineRule="auto"/>
        <w:ind w:left="-115"/>
        <w:jc w:val="both"/>
        <w:rPr>
          <w:sz w:val="22"/>
          <w:szCs w:val="22"/>
          <w:rtl/>
        </w:rPr>
      </w:pPr>
      <w:r w:rsidRPr="004A3CD9">
        <w:rPr>
          <w:rFonts w:ascii="David" w:hAnsi="David"/>
          <w:color w:val="000000"/>
          <w:sz w:val="22"/>
          <w:szCs w:val="22"/>
          <w:rtl/>
        </w:rPr>
        <w:t>סע 1738-07-11</w:t>
      </w:r>
      <w:r w:rsidRPr="004A3CD9">
        <w:rPr>
          <w:rFonts w:hint="cs"/>
          <w:color w:val="FF0000"/>
          <w:sz w:val="22"/>
          <w:szCs w:val="22"/>
          <w:rtl/>
        </w:rPr>
        <w:t xml:space="preserve"> </w:t>
      </w:r>
      <w:r w:rsidRPr="004A3CD9">
        <w:rPr>
          <w:color w:val="FF0000"/>
          <w:sz w:val="22"/>
          <w:szCs w:val="22"/>
        </w:rPr>
        <w:t>●</w:t>
      </w:r>
      <w:r w:rsidRPr="004A3CD9">
        <w:rPr>
          <w:rFonts w:hint="cs"/>
          <w:color w:val="2B003A"/>
          <w:sz w:val="22"/>
          <w:szCs w:val="22"/>
          <w:rtl/>
        </w:rPr>
        <w:t xml:space="preserve"> </w:t>
      </w:r>
      <w:r w:rsidRPr="00014E5E">
        <w:rPr>
          <w:rFonts w:ascii="David" w:hAnsi="David"/>
          <w:b/>
          <w:bCs/>
          <w:color w:val="FF0000"/>
          <w:sz w:val="22"/>
          <w:szCs w:val="22"/>
          <w:rtl/>
        </w:rPr>
        <w:t>רולא גרייב נ' מכבי שרותי בריאות</w:t>
      </w:r>
      <w:r w:rsidRPr="00014E5E">
        <w:rPr>
          <w:rFonts w:ascii="David" w:hAnsi="David" w:hint="cs"/>
          <w:color w:val="FF0000"/>
          <w:sz w:val="22"/>
          <w:szCs w:val="22"/>
          <w:rtl/>
        </w:rPr>
        <w:t xml:space="preserve"> </w:t>
      </w:r>
      <w:r w:rsidRPr="002D18AF">
        <w:rPr>
          <w:rFonts w:ascii="David" w:hAnsi="David" w:hint="cs"/>
          <w:color w:val="000000"/>
          <w:sz w:val="22"/>
          <w:szCs w:val="22"/>
          <w:rtl/>
        </w:rPr>
        <w:t xml:space="preserve">(14.4.13) </w:t>
      </w:r>
      <w:r w:rsidRPr="002D18AF">
        <w:rPr>
          <w:rFonts w:ascii="David" w:hAnsi="David"/>
          <w:color w:val="000000"/>
          <w:sz w:val="22"/>
          <w:szCs w:val="22"/>
        </w:rPr>
        <w:t xml:space="preserve"> </w:t>
      </w:r>
      <w:r w:rsidRPr="004A3CD9">
        <w:rPr>
          <w:color w:val="FF0000"/>
          <w:sz w:val="22"/>
          <w:szCs w:val="22"/>
        </w:rPr>
        <w:t>●</w:t>
      </w:r>
      <w:r w:rsidRPr="002D18AF">
        <w:rPr>
          <w:rFonts w:ascii="David" w:hAnsi="David" w:hint="cs"/>
          <w:color w:val="000000"/>
          <w:sz w:val="22"/>
          <w:szCs w:val="22"/>
          <w:rtl/>
        </w:rPr>
        <w:t xml:space="preserve">בפני כבוד </w:t>
      </w:r>
      <w:r w:rsidRPr="002D18AF">
        <w:rPr>
          <w:rFonts w:ascii="David" w:hAnsi="David"/>
          <w:color w:val="000000"/>
          <w:sz w:val="22"/>
          <w:szCs w:val="22"/>
          <w:rtl/>
        </w:rPr>
        <w:t xml:space="preserve">השופטת </w:t>
      </w:r>
      <w:r w:rsidRPr="002D18AF">
        <w:rPr>
          <w:rFonts w:ascii="David" w:hAnsi="David" w:hint="cs"/>
          <w:color w:val="000000"/>
          <w:sz w:val="22"/>
          <w:szCs w:val="22"/>
          <w:rtl/>
        </w:rPr>
        <w:t>מיכל פריימן, נ.ע. מר יצחק גבאי, נ.מ. מר דוד גבאי</w:t>
      </w:r>
    </w:p>
    <w:p w:rsidR="000118BE" w:rsidRDefault="000118BE" w:rsidP="00A8553B">
      <w:pPr>
        <w:tabs>
          <w:tab w:val="left" w:pos="-290"/>
        </w:tabs>
        <w:bidi/>
        <w:spacing w:line="360" w:lineRule="auto"/>
        <w:ind w:left="-312"/>
        <w:jc w:val="both"/>
        <w:rPr>
          <w:sz w:val="22"/>
          <w:szCs w:val="22"/>
          <w:rtl/>
        </w:rPr>
      </w:pPr>
    </w:p>
    <w:p w:rsidR="000118BE" w:rsidRPr="00BD3500" w:rsidRDefault="000118BE" w:rsidP="00A8553B">
      <w:pPr>
        <w:numPr>
          <w:ilvl w:val="0"/>
          <w:numId w:val="11"/>
        </w:numPr>
        <w:tabs>
          <w:tab w:val="clear" w:pos="720"/>
          <w:tab w:val="left" w:pos="-334"/>
          <w:tab w:val="num" w:pos="44"/>
        </w:tabs>
        <w:bidi/>
        <w:spacing w:line="360" w:lineRule="auto"/>
        <w:ind w:left="584" w:hanging="540"/>
        <w:jc w:val="both"/>
        <w:rPr>
          <w:rFonts w:ascii="Arial" w:hAnsi="Arial"/>
          <w:b/>
          <w:bCs/>
          <w:color w:val="0000FF"/>
          <w:sz w:val="24"/>
          <w:u w:val="single"/>
          <w:rtl/>
        </w:rPr>
      </w:pPr>
      <w:r w:rsidRPr="00BD3500">
        <w:rPr>
          <w:rFonts w:ascii="Arial" w:hAnsi="Arial" w:hint="cs"/>
          <w:b/>
          <w:bCs/>
          <w:color w:val="0000FF"/>
          <w:sz w:val="24"/>
          <w:u w:val="single"/>
          <w:rtl/>
        </w:rPr>
        <w:t>עזרה משפחתית אינה יוצרת יחסי עבודה</w:t>
      </w:r>
    </w:p>
    <w:p w:rsidR="000118BE" w:rsidRPr="00F66D1B" w:rsidRDefault="000118BE" w:rsidP="00D33E77">
      <w:pPr>
        <w:tabs>
          <w:tab w:val="left" w:pos="-110"/>
        </w:tabs>
        <w:ind w:left="48" w:right="-180"/>
        <w:jc w:val="both"/>
        <w:rPr>
          <w:rFonts w:ascii="Arial" w:hAnsi="Arial"/>
          <w:b/>
          <w:bCs/>
          <w:color w:val="000080"/>
          <w:sz w:val="28"/>
          <w:szCs w:val="32"/>
          <w:u w:val="single"/>
          <w:rtl/>
        </w:rPr>
      </w:pPr>
    </w:p>
    <w:p w:rsidR="000118BE" w:rsidRPr="003C4C71" w:rsidRDefault="000118BE" w:rsidP="00A8553B">
      <w:pPr>
        <w:tabs>
          <w:tab w:val="left" w:pos="-110"/>
        </w:tabs>
        <w:bidi/>
        <w:spacing w:line="360" w:lineRule="auto"/>
        <w:ind w:left="-115"/>
        <w:jc w:val="both"/>
        <w:rPr>
          <w:b/>
          <w:bCs/>
          <w:sz w:val="24"/>
          <w:rtl/>
        </w:rPr>
      </w:pPr>
      <w:r w:rsidRPr="003C4C71">
        <w:rPr>
          <w:rFonts w:hint="cs"/>
          <w:b/>
          <w:bCs/>
          <w:sz w:val="24"/>
          <w:rtl/>
        </w:rPr>
        <w:t xml:space="preserve">נדחתה תביעה נגד ביטוח לאומי של אם שביקשה להכיר בה כמעסיקה של אביה. לטענתה, אביה טיפל בבנה בימים א'-ה' בין השעון 08:00 - 16:00, תמורת משכורת של 1,000 ₪ לחודש וקניות לבית בסך 500 ₪. </w:t>
      </w:r>
    </w:p>
    <w:p w:rsidR="000118BE" w:rsidRPr="003C4C71" w:rsidRDefault="000118BE" w:rsidP="00A8553B">
      <w:pPr>
        <w:tabs>
          <w:tab w:val="left" w:pos="-110"/>
        </w:tabs>
        <w:bidi/>
        <w:spacing w:line="360" w:lineRule="auto"/>
        <w:ind w:left="-115"/>
        <w:jc w:val="both"/>
        <w:rPr>
          <w:b/>
          <w:bCs/>
          <w:sz w:val="24"/>
          <w:rtl/>
        </w:rPr>
      </w:pPr>
      <w:r w:rsidRPr="003C4C71">
        <w:rPr>
          <w:rFonts w:hint="cs"/>
          <w:b/>
          <w:bCs/>
          <w:sz w:val="24"/>
          <w:rtl/>
        </w:rPr>
        <w:t>המונח "עובד" מוגדר בסעיף 1 לחוק הביטוח הלאומי "לרבות בן משפחה... ובלבד שהוא עובד במפעל באופן סדיר ובעבודה שאילולא עשה אותה הוא, הייתה נעשית בידי עובד;...".</w:t>
      </w:r>
    </w:p>
    <w:p w:rsidR="000118BE" w:rsidRPr="003C4C71" w:rsidRDefault="000118BE" w:rsidP="00A8553B">
      <w:pPr>
        <w:tabs>
          <w:tab w:val="left" w:pos="-110"/>
        </w:tabs>
        <w:bidi/>
        <w:spacing w:line="360" w:lineRule="auto"/>
        <w:ind w:left="-115"/>
        <w:jc w:val="both"/>
        <w:rPr>
          <w:b/>
          <w:bCs/>
          <w:sz w:val="24"/>
          <w:rtl/>
        </w:rPr>
      </w:pPr>
      <w:r w:rsidRPr="003C4C71">
        <w:rPr>
          <w:rFonts w:hint="cs"/>
          <w:b/>
          <w:bCs/>
          <w:sz w:val="24"/>
          <w:rtl/>
        </w:rPr>
        <w:t>נפסק כי האב העיד כי לולא הוא טיפל בנכדו, התובעת לא הייתה מעסיקה עובד אחר במקומו, ולפיכך אין הוא עונה על ההגדרה של "עובד" על פי חוק הביטוח הלאומי. כמו כן, לא הוכח כי התובעת שילמה לאביה שכר כלשהו עבור הטיפול בבנה, ואף אם היה מוכח כי התובעת שילמה שכר עבור הטיפול הרי שזהו שכר נמוך אשר אינו משקף את שעות העבודה.</w:t>
      </w:r>
    </w:p>
    <w:p w:rsidR="000118BE" w:rsidRPr="003C4C71" w:rsidRDefault="000118BE" w:rsidP="00C7259F">
      <w:pPr>
        <w:tabs>
          <w:tab w:val="left" w:pos="-110"/>
        </w:tabs>
        <w:bidi/>
        <w:spacing w:line="360" w:lineRule="auto"/>
        <w:ind w:left="-115"/>
        <w:jc w:val="both"/>
        <w:rPr>
          <w:b/>
          <w:bCs/>
          <w:sz w:val="24"/>
          <w:rtl/>
        </w:rPr>
      </w:pPr>
      <w:r w:rsidRPr="003C4C71">
        <w:rPr>
          <w:rFonts w:hint="cs"/>
          <w:b/>
          <w:bCs/>
          <w:sz w:val="24"/>
          <w:rtl/>
        </w:rPr>
        <w:t xml:space="preserve">לפיכך, בית הדין דחה את התביעה לאחר שהתובעת לא הרימה את הנטל המוטל עליה להוכחת קיומם של יחסי עובד ומעביד, ופסק כי הסיוע של אביה, בטיפול בנכדו אינו חורג מעזרה משפחתית של אב. </w:t>
      </w:r>
    </w:p>
    <w:p w:rsidR="000118BE" w:rsidRDefault="000118BE" w:rsidP="00A8553B">
      <w:pPr>
        <w:tabs>
          <w:tab w:val="left" w:pos="-110"/>
        </w:tabs>
        <w:bidi/>
        <w:spacing w:line="360" w:lineRule="auto"/>
        <w:ind w:left="-115"/>
        <w:jc w:val="both"/>
        <w:rPr>
          <w:b/>
          <w:bCs/>
          <w:sz w:val="22"/>
          <w:szCs w:val="22"/>
          <w:rtl/>
        </w:rPr>
      </w:pPr>
      <w:r w:rsidRPr="003B2ACD">
        <w:rPr>
          <w:rFonts w:hint="cs"/>
          <w:sz w:val="22"/>
          <w:szCs w:val="22"/>
          <w:rtl/>
        </w:rPr>
        <w:t xml:space="preserve">בל (ת"א) 5705-01-13 </w:t>
      </w:r>
      <w:r w:rsidRPr="003B2ACD">
        <w:rPr>
          <w:color w:val="FF0000"/>
          <w:sz w:val="22"/>
          <w:szCs w:val="22"/>
        </w:rPr>
        <w:t>●</w:t>
      </w:r>
      <w:r w:rsidRPr="003B2ACD">
        <w:rPr>
          <w:rFonts w:hint="cs"/>
          <w:b/>
          <w:bCs/>
          <w:sz w:val="22"/>
          <w:szCs w:val="22"/>
          <w:rtl/>
        </w:rPr>
        <w:t xml:space="preserve"> </w:t>
      </w:r>
      <w:r w:rsidRPr="00014E5E">
        <w:rPr>
          <w:rFonts w:hint="cs"/>
          <w:b/>
          <w:bCs/>
          <w:color w:val="FF0000"/>
          <w:sz w:val="22"/>
          <w:szCs w:val="22"/>
          <w:rtl/>
        </w:rPr>
        <w:t xml:space="preserve">שירלי אילוז נ' המוסד לביטוח לאומי </w:t>
      </w:r>
      <w:r w:rsidRPr="003B2ACD">
        <w:rPr>
          <w:rFonts w:hint="cs"/>
          <w:sz w:val="22"/>
          <w:szCs w:val="22"/>
          <w:rtl/>
        </w:rPr>
        <w:t xml:space="preserve">(8.1.14) </w:t>
      </w:r>
      <w:r w:rsidRPr="003B2ACD">
        <w:rPr>
          <w:sz w:val="22"/>
          <w:szCs w:val="22"/>
        </w:rPr>
        <w:t xml:space="preserve"> </w:t>
      </w:r>
      <w:r w:rsidRPr="003B2ACD">
        <w:rPr>
          <w:color w:val="FF0000"/>
          <w:sz w:val="22"/>
          <w:szCs w:val="22"/>
        </w:rPr>
        <w:t>●</w:t>
      </w:r>
      <w:r w:rsidRPr="003B2ACD">
        <w:rPr>
          <w:rFonts w:hint="cs"/>
          <w:sz w:val="22"/>
          <w:szCs w:val="22"/>
          <w:rtl/>
        </w:rPr>
        <w:t>בפני כבוד סגנית הנשיאה, השופטת הדס יהלום</w:t>
      </w:r>
    </w:p>
    <w:p w:rsidR="00D33E77" w:rsidRDefault="00D33E77" w:rsidP="00D33E77">
      <w:pPr>
        <w:tabs>
          <w:tab w:val="left" w:pos="-110"/>
        </w:tabs>
        <w:bidi/>
        <w:spacing w:line="360" w:lineRule="auto"/>
        <w:ind w:left="-115"/>
        <w:jc w:val="both"/>
        <w:rPr>
          <w:b/>
          <w:bCs/>
          <w:sz w:val="22"/>
          <w:szCs w:val="22"/>
          <w:rtl/>
        </w:rPr>
      </w:pPr>
    </w:p>
    <w:p w:rsidR="00D33E77" w:rsidRDefault="00D33E77" w:rsidP="00D33E77">
      <w:pPr>
        <w:tabs>
          <w:tab w:val="left" w:pos="-110"/>
        </w:tabs>
        <w:bidi/>
        <w:spacing w:line="360" w:lineRule="auto"/>
        <w:ind w:left="-115"/>
        <w:jc w:val="both"/>
        <w:rPr>
          <w:b/>
          <w:bCs/>
          <w:sz w:val="22"/>
          <w:szCs w:val="22"/>
          <w:rtl/>
        </w:rPr>
      </w:pPr>
    </w:p>
    <w:p w:rsidR="00D33E77" w:rsidRDefault="00D33E77" w:rsidP="00D33E77">
      <w:pPr>
        <w:tabs>
          <w:tab w:val="left" w:pos="-110"/>
        </w:tabs>
        <w:bidi/>
        <w:spacing w:line="360" w:lineRule="auto"/>
        <w:ind w:left="-115"/>
        <w:jc w:val="both"/>
        <w:rPr>
          <w:b/>
          <w:bCs/>
          <w:sz w:val="22"/>
          <w:szCs w:val="22"/>
          <w:rtl/>
        </w:rPr>
      </w:pPr>
    </w:p>
    <w:p w:rsidR="00D33E77" w:rsidRDefault="00D33E77" w:rsidP="00D33E77">
      <w:pPr>
        <w:tabs>
          <w:tab w:val="left" w:pos="-110"/>
        </w:tabs>
        <w:bidi/>
        <w:spacing w:line="360" w:lineRule="auto"/>
        <w:ind w:left="-115"/>
        <w:jc w:val="both"/>
        <w:rPr>
          <w:b/>
          <w:bCs/>
          <w:sz w:val="22"/>
          <w:szCs w:val="22"/>
          <w:rtl/>
        </w:rPr>
      </w:pPr>
    </w:p>
    <w:p w:rsidR="00D33E77" w:rsidRPr="003B2ACD" w:rsidRDefault="00D33E77" w:rsidP="00D33E77">
      <w:pPr>
        <w:tabs>
          <w:tab w:val="left" w:pos="-110"/>
        </w:tabs>
        <w:bidi/>
        <w:spacing w:line="360" w:lineRule="auto"/>
        <w:ind w:left="-115"/>
        <w:jc w:val="both"/>
        <w:rPr>
          <w:b/>
          <w:bCs/>
          <w:sz w:val="22"/>
          <w:szCs w:val="22"/>
          <w:rtl/>
        </w:rPr>
      </w:pPr>
    </w:p>
    <w:p w:rsidR="000118BE" w:rsidRDefault="000118BE" w:rsidP="00A8553B">
      <w:pPr>
        <w:tabs>
          <w:tab w:val="left" w:pos="-334"/>
        </w:tabs>
        <w:bidi/>
        <w:spacing w:line="360" w:lineRule="auto"/>
        <w:ind w:left="224"/>
        <w:jc w:val="both"/>
        <w:rPr>
          <w:rFonts w:ascii="David" w:hAnsi="David"/>
          <w:color w:val="000000"/>
          <w:sz w:val="18"/>
          <w:szCs w:val="18"/>
          <w:rtl/>
        </w:rPr>
      </w:pPr>
    </w:p>
    <w:p w:rsidR="000118BE" w:rsidRDefault="000118BE" w:rsidP="00A8553B">
      <w:pPr>
        <w:numPr>
          <w:ilvl w:val="0"/>
          <w:numId w:val="4"/>
        </w:numPr>
        <w:bidi/>
        <w:spacing w:line="360" w:lineRule="auto"/>
        <w:jc w:val="both"/>
        <w:outlineLvl w:val="2"/>
        <w:rPr>
          <w:rFonts w:ascii="David" w:hAnsi="David"/>
          <w:b/>
          <w:bCs/>
          <w:color w:val="FF0000"/>
          <w:sz w:val="32"/>
          <w:szCs w:val="26"/>
          <w:u w:val="single"/>
        </w:rPr>
      </w:pPr>
      <w:bookmarkStart w:id="18" w:name="_Toc383530615"/>
      <w:bookmarkStart w:id="19" w:name="_Toc383587153"/>
      <w:bookmarkStart w:id="20" w:name="_Toc383587358"/>
      <w:bookmarkStart w:id="21" w:name="_Toc383587800"/>
      <w:bookmarkEnd w:id="17"/>
      <w:r w:rsidRPr="005E36E4">
        <w:rPr>
          <w:rFonts w:ascii="David" w:hAnsi="David" w:hint="cs"/>
          <w:b/>
          <w:bCs/>
          <w:color w:val="FF0000"/>
          <w:sz w:val="32"/>
          <w:szCs w:val="26"/>
          <w:u w:val="single"/>
          <w:rtl/>
        </w:rPr>
        <w:lastRenderedPageBreak/>
        <w:t>הגדרת קבלן עצמאי כעובד למפרע</w:t>
      </w:r>
      <w:bookmarkEnd w:id="18"/>
      <w:bookmarkEnd w:id="19"/>
      <w:bookmarkEnd w:id="20"/>
      <w:bookmarkEnd w:id="21"/>
    </w:p>
    <w:p w:rsidR="000118BE" w:rsidRPr="005E36E4" w:rsidRDefault="000118BE" w:rsidP="00D33E77">
      <w:pPr>
        <w:bidi/>
        <w:jc w:val="both"/>
        <w:outlineLvl w:val="2"/>
        <w:rPr>
          <w:rFonts w:ascii="David" w:hAnsi="David"/>
          <w:b/>
          <w:bCs/>
          <w:color w:val="FF0000"/>
          <w:sz w:val="32"/>
          <w:szCs w:val="26"/>
          <w:u w:val="single"/>
        </w:rPr>
      </w:pPr>
    </w:p>
    <w:p w:rsidR="000118BE" w:rsidRPr="00BD3500" w:rsidRDefault="000118BE" w:rsidP="00A8553B">
      <w:pPr>
        <w:numPr>
          <w:ilvl w:val="0"/>
          <w:numId w:val="12"/>
        </w:numPr>
        <w:tabs>
          <w:tab w:val="clear" w:pos="360"/>
          <w:tab w:val="left" w:pos="70"/>
          <w:tab w:val="num" w:pos="764"/>
        </w:tabs>
        <w:bidi/>
        <w:spacing w:line="360" w:lineRule="auto"/>
        <w:ind w:left="764"/>
        <w:jc w:val="both"/>
        <w:rPr>
          <w:rFonts w:ascii="Arial" w:hAnsi="Arial"/>
          <w:b/>
          <w:bCs/>
          <w:color w:val="0000FF"/>
          <w:sz w:val="24"/>
          <w:u w:val="single"/>
        </w:rPr>
      </w:pPr>
      <w:r w:rsidRPr="00BD3500">
        <w:rPr>
          <w:rFonts w:ascii="Arial" w:hAnsi="Arial" w:hint="cs"/>
          <w:b/>
          <w:bCs/>
          <w:color w:val="0000FF"/>
          <w:sz w:val="24"/>
          <w:u w:val="single"/>
          <w:rtl/>
        </w:rPr>
        <w:t>בל"ל חויב לשלם לעובדת, מתכנתת בכירה, שסווגה כ</w:t>
      </w:r>
      <w:r w:rsidR="00D33E77" w:rsidRPr="00BD3500">
        <w:rPr>
          <w:rFonts w:ascii="Arial" w:hAnsi="Arial" w:hint="cs"/>
          <w:b/>
          <w:bCs/>
          <w:color w:val="0000FF"/>
          <w:sz w:val="24"/>
          <w:u w:val="single"/>
          <w:rtl/>
        </w:rPr>
        <w:t>"עצמאית", סכום העולה על 400,000</w:t>
      </w:r>
      <w:r w:rsidRPr="00BD3500">
        <w:rPr>
          <w:rFonts w:ascii="Arial" w:hAnsi="Arial" w:hint="cs"/>
          <w:b/>
          <w:bCs/>
          <w:color w:val="0000FF"/>
          <w:sz w:val="24"/>
          <w:u w:val="single"/>
          <w:rtl/>
        </w:rPr>
        <w:t>₪,</w:t>
      </w:r>
      <w:r w:rsidR="00D33E77" w:rsidRPr="00BD3500">
        <w:rPr>
          <w:rFonts w:ascii="Arial" w:hAnsi="Arial" w:hint="cs"/>
          <w:b/>
          <w:bCs/>
          <w:color w:val="0000FF"/>
          <w:sz w:val="24"/>
          <w:u w:val="single"/>
          <w:rtl/>
        </w:rPr>
        <w:t xml:space="preserve"> </w:t>
      </w:r>
      <w:r w:rsidRPr="00BD3500">
        <w:rPr>
          <w:rFonts w:ascii="Arial" w:hAnsi="Arial" w:hint="cs"/>
          <w:b/>
          <w:bCs/>
          <w:color w:val="0000FF"/>
          <w:sz w:val="24"/>
          <w:u w:val="single"/>
          <w:rtl/>
        </w:rPr>
        <w:t xml:space="preserve"> בהתאם לשכר החלופי שנקבע, ללא קיזוז והשבה</w:t>
      </w:r>
    </w:p>
    <w:p w:rsidR="000118BE" w:rsidRPr="00B325FB" w:rsidRDefault="000118BE" w:rsidP="00D33E77">
      <w:pPr>
        <w:tabs>
          <w:tab w:val="left" w:pos="-290"/>
        </w:tabs>
        <w:ind w:left="-290" w:right="-180"/>
        <w:jc w:val="both"/>
        <w:rPr>
          <w:rFonts w:ascii="Arial" w:hAnsi="Arial"/>
          <w:b/>
          <w:bCs/>
          <w:color w:val="008000"/>
          <w:sz w:val="24"/>
          <w:u w:val="single"/>
          <w:rtl/>
        </w:rPr>
      </w:pPr>
    </w:p>
    <w:p w:rsidR="000118BE" w:rsidRPr="00B325FB" w:rsidRDefault="000118BE" w:rsidP="00A8553B">
      <w:pPr>
        <w:bidi/>
        <w:spacing w:line="360" w:lineRule="auto"/>
        <w:ind w:left="-86"/>
        <w:jc w:val="both"/>
        <w:rPr>
          <w:b/>
          <w:bCs/>
          <w:rtl/>
        </w:rPr>
      </w:pPr>
      <w:r w:rsidRPr="00B325FB">
        <w:rPr>
          <w:rFonts w:hint="cs"/>
          <w:b/>
          <w:bCs/>
          <w:rtl/>
        </w:rPr>
        <w:t>התובעת הועסקה על ידי בנק לאומי ומעמדה בהסכמי ההתקשרות הוגדר כ"קבלן עצמאי".</w:t>
      </w:r>
    </w:p>
    <w:p w:rsidR="000118BE" w:rsidRPr="00B325FB" w:rsidRDefault="000118BE" w:rsidP="00A8553B">
      <w:pPr>
        <w:bidi/>
        <w:spacing w:line="360" w:lineRule="auto"/>
        <w:ind w:left="-86"/>
        <w:jc w:val="both"/>
        <w:rPr>
          <w:b/>
          <w:bCs/>
          <w:rtl/>
        </w:rPr>
      </w:pPr>
      <w:r w:rsidRPr="00B325FB">
        <w:rPr>
          <w:rFonts w:hint="cs"/>
          <w:b/>
          <w:bCs/>
          <w:rtl/>
        </w:rPr>
        <w:t xml:space="preserve">עם סיום ההתקשרות הגישה המועסקת תביעה כנגד המעסיק, הבנק, וביקשה לחייבו בתשלום בגין זכויות שנשללו ממנה כעובדת שכירה של הבנק. </w:t>
      </w:r>
    </w:p>
    <w:p w:rsidR="000118BE" w:rsidRPr="00B325FB" w:rsidRDefault="000118BE" w:rsidP="00A8553B">
      <w:pPr>
        <w:bidi/>
        <w:spacing w:line="360" w:lineRule="auto"/>
        <w:ind w:left="-86"/>
        <w:jc w:val="both"/>
        <w:rPr>
          <w:b/>
          <w:bCs/>
          <w:rtl/>
        </w:rPr>
      </w:pPr>
      <w:r w:rsidRPr="00B325FB">
        <w:rPr>
          <w:rFonts w:hint="cs"/>
          <w:b/>
          <w:bCs/>
          <w:rtl/>
        </w:rPr>
        <w:t>בתביעה שכנגד טען הבנק כי התובעת הפרה חוזה והגשת התביעה נגדו מהווה חוסר תום לב. לחלופין, התנהגותה מהווה עשיית עושר ולא במשפט ולפיכך, על התובעת להשיב לבנק את הסכומים ששולמו לה מעבר לסכומים שהיו משולמים לה אילו הייתה עובדת שכירה.</w:t>
      </w:r>
    </w:p>
    <w:p w:rsidR="000118BE" w:rsidRPr="00B325FB" w:rsidRDefault="000118BE" w:rsidP="00A8553B">
      <w:pPr>
        <w:bidi/>
        <w:spacing w:line="360" w:lineRule="auto"/>
        <w:ind w:left="-86"/>
        <w:jc w:val="both"/>
        <w:rPr>
          <w:b/>
          <w:bCs/>
          <w:rtl/>
        </w:rPr>
      </w:pPr>
      <w:r w:rsidRPr="00B325FB">
        <w:rPr>
          <w:rFonts w:hint="cs"/>
          <w:b/>
          <w:bCs/>
          <w:rtl/>
        </w:rPr>
        <w:t>בית הדין קיבל חלקית את התביעה ופסק כי בין הצדדים התקיימו יחסי עובד- מעביד.</w:t>
      </w:r>
    </w:p>
    <w:p w:rsidR="000118BE" w:rsidRPr="00B325FB" w:rsidRDefault="000118BE" w:rsidP="00A8553B">
      <w:pPr>
        <w:bidi/>
        <w:spacing w:line="360" w:lineRule="auto"/>
        <w:ind w:left="-86"/>
        <w:jc w:val="both"/>
        <w:rPr>
          <w:b/>
          <w:bCs/>
          <w:rtl/>
        </w:rPr>
      </w:pPr>
      <w:r w:rsidRPr="00B325FB">
        <w:rPr>
          <w:rFonts w:hint="cs"/>
          <w:b/>
          <w:bCs/>
          <w:rtl/>
        </w:rPr>
        <w:t>על פי פס"ד רופא, עובד שסווג באופן שגוי כ"עצמאי" זכאי לכל הזכויות הכספיות שנשללו ממנו, על סמך השכר החלופי שייקבע על ידי הערכאה הדיונית, וזאת מבלי שניתן יהא לקזז ממנו סכום כלשהו כתוצאה מהפער בין התמורה "הקבלנית" לבין השכר החלופי שנקבע עבורו, אלא במקרים בהם התנהגות המועסק נגועה בחוסר תום לב קיצוני.</w:t>
      </w:r>
    </w:p>
    <w:p w:rsidR="000118BE" w:rsidRPr="00B325FB" w:rsidRDefault="000118BE" w:rsidP="00A8553B">
      <w:pPr>
        <w:bidi/>
        <w:spacing w:line="360" w:lineRule="auto"/>
        <w:ind w:left="-86"/>
        <w:jc w:val="both"/>
        <w:rPr>
          <w:b/>
          <w:bCs/>
          <w:rtl/>
        </w:rPr>
      </w:pPr>
      <w:r w:rsidRPr="00B325FB">
        <w:rPr>
          <w:rFonts w:hint="cs"/>
          <w:b/>
          <w:bCs/>
          <w:rtl/>
        </w:rPr>
        <w:t xml:space="preserve">בענייננו, דחה בית הדין את טענת הקיזוז וההשבה של הבנק וכן את התביעה שכנגד ופסק כי האחריות לסיווגו של המועסק במעמד הנכון מוטלת על המעביד וכי הגשת התביעה על ידי העובדת, אינה מהווה חוסר תום לב קיצוני. </w:t>
      </w:r>
    </w:p>
    <w:p w:rsidR="000118BE" w:rsidRPr="00B325FB" w:rsidRDefault="000118BE" w:rsidP="00A8553B">
      <w:pPr>
        <w:bidi/>
        <w:spacing w:line="360" w:lineRule="auto"/>
        <w:ind w:left="-86"/>
        <w:jc w:val="both"/>
        <w:rPr>
          <w:b/>
          <w:bCs/>
          <w:rtl/>
        </w:rPr>
      </w:pPr>
      <w:r w:rsidRPr="00B325FB">
        <w:rPr>
          <w:rFonts w:hint="cs"/>
          <w:b/>
          <w:bCs/>
          <w:rtl/>
        </w:rPr>
        <w:t>באשר לשכר החלופי שתקבל התובעת, לצורך חישוב זכויותיה כעובדת, פסק בית הדין כי שכרה יעמוד על 70% מהתמורה הקבלנית ששולמה לה, לאחר שהבנק לא הוכיח את שיעור השכר החלופי שהיה משולם לה אילו הועסקה כעובדת, וחייב את הבנק לשלם לעובדת מעל 400,000 ₪ וכן הוצאות משפט ושכ"ט עורך דין בסכום כולל של 20,000 ₪.</w:t>
      </w:r>
    </w:p>
    <w:p w:rsidR="000118BE" w:rsidRPr="00B325FB" w:rsidRDefault="000118BE" w:rsidP="00C542C9">
      <w:pPr>
        <w:tabs>
          <w:tab w:val="left" w:pos="-110"/>
        </w:tabs>
        <w:bidi/>
        <w:spacing w:line="360" w:lineRule="auto"/>
        <w:ind w:left="-115"/>
        <w:jc w:val="both"/>
        <w:rPr>
          <w:rFonts w:ascii="Arial" w:hAnsi="Arial"/>
          <w:b/>
          <w:bCs/>
          <w:color w:val="008000"/>
          <w:sz w:val="22"/>
          <w:szCs w:val="22"/>
          <w:u w:val="single"/>
          <w:rtl/>
        </w:rPr>
      </w:pPr>
      <w:r w:rsidRPr="00B325FB">
        <w:rPr>
          <w:rFonts w:hint="cs"/>
          <w:color w:val="000000"/>
          <w:sz w:val="22"/>
          <w:szCs w:val="22"/>
          <w:rtl/>
        </w:rPr>
        <w:t xml:space="preserve">תע"א (ת"א) </w:t>
      </w:r>
      <w:r w:rsidRPr="00B325FB">
        <w:rPr>
          <w:color w:val="000000"/>
          <w:sz w:val="22"/>
          <w:szCs w:val="22"/>
          <w:rtl/>
        </w:rPr>
        <w:t xml:space="preserve"> </w:t>
      </w:r>
      <w:r w:rsidRPr="00B325FB">
        <w:rPr>
          <w:rFonts w:hint="cs"/>
          <w:color w:val="000000"/>
          <w:sz w:val="22"/>
          <w:szCs w:val="22"/>
          <w:rtl/>
        </w:rPr>
        <w:t xml:space="preserve">8065-05 </w:t>
      </w:r>
      <w:r w:rsidRPr="00FA0CEB">
        <w:rPr>
          <w:rFonts w:ascii="Arial" w:hAnsi="Arial" w:cs="Arial"/>
          <w:color w:val="FF0000"/>
          <w:sz w:val="22"/>
          <w:szCs w:val="22"/>
        </w:rPr>
        <w:t>●</w:t>
      </w:r>
      <w:r w:rsidRPr="00B325FB">
        <w:rPr>
          <w:rFonts w:hint="cs"/>
          <w:b/>
          <w:bCs/>
          <w:sz w:val="22"/>
          <w:szCs w:val="22"/>
          <w:rtl/>
        </w:rPr>
        <w:t xml:space="preserve"> </w:t>
      </w:r>
      <w:r w:rsidRPr="00014E5E">
        <w:rPr>
          <w:rFonts w:hint="cs"/>
          <w:b/>
          <w:bCs/>
          <w:color w:val="FF0000"/>
          <w:sz w:val="22"/>
          <w:szCs w:val="22"/>
          <w:rtl/>
        </w:rPr>
        <w:t>שלי אוקמן נ' בנק לאומי לישראל בע"מ</w:t>
      </w:r>
      <w:r w:rsidRPr="00014E5E">
        <w:rPr>
          <w:rFonts w:hint="cs"/>
          <w:color w:val="FF0000"/>
          <w:sz w:val="22"/>
          <w:szCs w:val="22"/>
          <w:rtl/>
        </w:rPr>
        <w:t xml:space="preserve"> </w:t>
      </w:r>
      <w:r w:rsidRPr="00B325FB">
        <w:rPr>
          <w:rFonts w:hint="cs"/>
          <w:sz w:val="22"/>
          <w:szCs w:val="22"/>
          <w:rtl/>
        </w:rPr>
        <w:t xml:space="preserve">(2.9.13) </w:t>
      </w:r>
      <w:r w:rsidRPr="00B325FB">
        <w:rPr>
          <w:sz w:val="22"/>
          <w:szCs w:val="22"/>
        </w:rPr>
        <w:t xml:space="preserve"> </w:t>
      </w:r>
      <w:r w:rsidRPr="00FA0CEB">
        <w:rPr>
          <w:rFonts w:ascii="Arial" w:hAnsi="Arial" w:cs="Arial"/>
          <w:color w:val="FF0000"/>
          <w:sz w:val="22"/>
          <w:szCs w:val="22"/>
        </w:rPr>
        <w:t>●</w:t>
      </w:r>
      <w:r w:rsidRPr="00B325FB">
        <w:rPr>
          <w:rFonts w:hint="cs"/>
          <w:sz w:val="22"/>
          <w:szCs w:val="22"/>
          <w:rtl/>
        </w:rPr>
        <w:t>בפני כבוד השופטת לאה גליקסמן, נ.מ. גב' תמר ברץ, נ.ע. גב' נעה נוריאל</w:t>
      </w:r>
    </w:p>
    <w:p w:rsidR="000118BE" w:rsidRDefault="000118BE" w:rsidP="00D33E77">
      <w:pPr>
        <w:tabs>
          <w:tab w:val="left" w:pos="70"/>
        </w:tabs>
        <w:bidi/>
        <w:ind w:left="-82"/>
        <w:jc w:val="both"/>
        <w:rPr>
          <w:rFonts w:ascii="Arial" w:hAnsi="Arial"/>
          <w:b/>
          <w:bCs/>
          <w:color w:val="008000"/>
          <w:sz w:val="28"/>
          <w:szCs w:val="28"/>
          <w:u w:val="single"/>
          <w:rtl/>
        </w:rPr>
      </w:pPr>
    </w:p>
    <w:p w:rsidR="000118BE" w:rsidRPr="00BD3500" w:rsidRDefault="000118BE" w:rsidP="00A8553B">
      <w:pPr>
        <w:numPr>
          <w:ilvl w:val="0"/>
          <w:numId w:val="12"/>
        </w:numPr>
        <w:tabs>
          <w:tab w:val="clear" w:pos="360"/>
          <w:tab w:val="left" w:pos="70"/>
          <w:tab w:val="num" w:pos="764"/>
        </w:tabs>
        <w:bidi/>
        <w:spacing w:line="360" w:lineRule="auto"/>
        <w:ind w:left="764"/>
        <w:jc w:val="both"/>
        <w:rPr>
          <w:rFonts w:ascii="Arial" w:hAnsi="Arial"/>
          <w:b/>
          <w:bCs/>
          <w:color w:val="0000FF"/>
          <w:sz w:val="24"/>
          <w:u w:val="single"/>
          <w:rtl/>
        </w:rPr>
      </w:pPr>
      <w:r w:rsidRPr="00BD3500">
        <w:rPr>
          <w:rFonts w:ascii="Arial" w:hAnsi="Arial" w:hint="cs"/>
          <w:b/>
          <w:bCs/>
          <w:color w:val="0000FF"/>
          <w:sz w:val="24"/>
          <w:u w:val="single"/>
          <w:rtl/>
        </w:rPr>
        <w:t xml:space="preserve">תביעת "קבלן" להכרה כ"עובד" לאחר שנות התקשרות </w:t>
      </w:r>
      <w:r w:rsidR="00125505">
        <w:rPr>
          <w:rFonts w:ascii="Arial" w:hAnsi="Arial" w:hint="cs"/>
          <w:b/>
          <w:bCs/>
          <w:color w:val="0000FF"/>
          <w:sz w:val="24"/>
          <w:u w:val="single"/>
          <w:rtl/>
        </w:rPr>
        <w:t>רבות לא נ</w:t>
      </w:r>
      <w:r w:rsidRPr="00BD3500">
        <w:rPr>
          <w:rFonts w:ascii="Arial" w:hAnsi="Arial" w:hint="cs"/>
          <w:b/>
          <w:bCs/>
          <w:color w:val="0000FF"/>
          <w:sz w:val="24"/>
          <w:u w:val="single"/>
          <w:rtl/>
        </w:rPr>
        <w:t>חשב לחוסר תום לב</w:t>
      </w:r>
    </w:p>
    <w:p w:rsidR="000118BE" w:rsidRPr="00B36B47" w:rsidRDefault="000118BE" w:rsidP="00D33E77">
      <w:pPr>
        <w:tabs>
          <w:tab w:val="left" w:pos="-316"/>
        </w:tabs>
        <w:bidi/>
        <w:ind w:left="-316" w:right="-180"/>
        <w:jc w:val="both"/>
        <w:rPr>
          <w:rFonts w:ascii="Arial" w:hAnsi="Arial"/>
          <w:b/>
          <w:bCs/>
          <w:sz w:val="24"/>
          <w:u w:val="single"/>
          <w:rtl/>
        </w:rPr>
      </w:pPr>
    </w:p>
    <w:p w:rsidR="00D33E77" w:rsidRDefault="000118BE" w:rsidP="00D33E77">
      <w:pPr>
        <w:bidi/>
        <w:spacing w:line="360" w:lineRule="auto"/>
        <w:ind w:left="-86"/>
        <w:jc w:val="both"/>
        <w:rPr>
          <w:b/>
          <w:bCs/>
          <w:color w:val="000000"/>
          <w:rtl/>
        </w:rPr>
      </w:pPr>
      <w:r>
        <w:rPr>
          <w:rFonts w:hint="cs"/>
          <w:b/>
          <w:bCs/>
          <w:color w:val="000000"/>
          <w:rtl/>
        </w:rPr>
        <w:t xml:space="preserve">בית הדין האזורי לעבודה בירושלים קיבל תביעה של "קבלן" שתבע כעובד וקבע, כי </w:t>
      </w:r>
      <w:r w:rsidRPr="004C6767">
        <w:rPr>
          <w:b/>
          <w:bCs/>
          <w:color w:val="000000"/>
          <w:rtl/>
        </w:rPr>
        <w:t>שאלת סיווג ההתקשרות בין הצדדים כהתקשרות של יחסי עובד-מעביד</w:t>
      </w:r>
      <w:r w:rsidRPr="004C6767">
        <w:rPr>
          <w:rFonts w:hint="cs"/>
          <w:b/>
          <w:bCs/>
          <w:color w:val="000000"/>
          <w:rtl/>
        </w:rPr>
        <w:t xml:space="preserve"> לעומת "קבלן עצמאי"</w:t>
      </w:r>
      <w:r w:rsidRPr="004C6767">
        <w:rPr>
          <w:b/>
          <w:bCs/>
          <w:color w:val="000000"/>
          <w:rtl/>
        </w:rPr>
        <w:t xml:space="preserve"> נעשית על פי מכלול העובדות שביסוד ההתקשרות, ולעניין זה להסכמת הצדדים משמעות מוגבלת. מעמד של עובד הנו דבר הקרוב לסטאטוס, ומעמד זה אינו נקבע על ידי הצדדים או מי מהם, אלא על פי נסיבות העניין, כהווייתן.</w:t>
      </w:r>
      <w:r w:rsidRPr="004C6767">
        <w:rPr>
          <w:rFonts w:hint="cs"/>
          <w:b/>
          <w:bCs/>
          <w:color w:val="000000"/>
          <w:rtl/>
        </w:rPr>
        <w:t xml:space="preserve"> </w:t>
      </w:r>
      <w:r w:rsidRPr="004C6767">
        <w:rPr>
          <w:b/>
          <w:bCs/>
          <w:color w:val="000000"/>
          <w:rtl/>
        </w:rPr>
        <w:t>במקרה זה, מכלול העובדות שביסוד ההתקשרות בין הצדדים מביא למסקנה המשפטית שהתובע היה עובד של הנתבע</w:t>
      </w:r>
      <w:r w:rsidRPr="004C6767">
        <w:rPr>
          <w:rFonts w:hint="cs"/>
          <w:b/>
          <w:bCs/>
          <w:color w:val="000000"/>
          <w:rtl/>
        </w:rPr>
        <w:t>ת</w:t>
      </w:r>
      <w:r>
        <w:rPr>
          <w:rFonts w:hint="cs"/>
          <w:b/>
          <w:bCs/>
          <w:color w:val="000000"/>
          <w:rtl/>
        </w:rPr>
        <w:t xml:space="preserve"> ולא "קבלן עצמאי"</w:t>
      </w:r>
      <w:r w:rsidRPr="004C6767">
        <w:rPr>
          <w:rFonts w:hint="cs"/>
          <w:b/>
          <w:bCs/>
          <w:color w:val="000000"/>
          <w:rtl/>
        </w:rPr>
        <w:t xml:space="preserve">: </w:t>
      </w:r>
      <w:r w:rsidR="00C7259F">
        <w:rPr>
          <w:rFonts w:hint="cs"/>
          <w:b/>
          <w:bCs/>
          <w:color w:val="000000"/>
          <w:rtl/>
        </w:rPr>
        <w:t>הוא</w:t>
      </w:r>
      <w:r w:rsidRPr="004C6767">
        <w:rPr>
          <w:b/>
          <w:bCs/>
          <w:color w:val="000000"/>
          <w:rtl/>
        </w:rPr>
        <w:t xml:space="preserve"> השתלב במערך הארגוני של הנתבעת</w:t>
      </w:r>
      <w:r w:rsidRPr="004C6767">
        <w:rPr>
          <w:rFonts w:hint="cs"/>
          <w:b/>
          <w:bCs/>
          <w:color w:val="000000"/>
          <w:rtl/>
        </w:rPr>
        <w:t>,</w:t>
      </w:r>
      <w:r w:rsidRPr="004C6767">
        <w:rPr>
          <w:b/>
          <w:bCs/>
          <w:color w:val="000000"/>
          <w:rtl/>
        </w:rPr>
        <w:t xml:space="preserve"> עשה </w:t>
      </w:r>
      <w:r w:rsidRPr="001F0EBC">
        <w:rPr>
          <w:rFonts w:ascii="Arial" w:eastAsia="Calibri" w:hAnsi="Arial"/>
          <w:b/>
          <w:bCs/>
          <w:sz w:val="24"/>
          <w:rtl/>
        </w:rPr>
        <w:t>שימוש</w:t>
      </w:r>
      <w:r w:rsidRPr="004C6767">
        <w:rPr>
          <w:b/>
          <w:bCs/>
          <w:color w:val="000000"/>
          <w:rtl/>
        </w:rPr>
        <w:t xml:space="preserve"> במשאבי הנתבעת לצורך ביצוע עבודתו</w:t>
      </w:r>
      <w:r>
        <w:rPr>
          <w:rFonts w:hint="cs"/>
          <w:b/>
          <w:bCs/>
          <w:color w:val="000000"/>
          <w:rtl/>
        </w:rPr>
        <w:t xml:space="preserve"> ו</w:t>
      </w:r>
      <w:r w:rsidRPr="004C6767">
        <w:rPr>
          <w:rFonts w:hint="cs"/>
          <w:b/>
          <w:bCs/>
          <w:color w:val="000000"/>
          <w:rtl/>
        </w:rPr>
        <w:t>לא</w:t>
      </w:r>
      <w:r w:rsidRPr="004C6767">
        <w:rPr>
          <w:b/>
          <w:bCs/>
          <w:color w:val="000000"/>
          <w:rtl/>
        </w:rPr>
        <w:t xml:space="preserve"> הפעיל משרד משלו בבית או במקום אחר.</w:t>
      </w:r>
      <w:r w:rsidRPr="004C6767">
        <w:rPr>
          <w:rFonts w:hint="cs"/>
          <w:b/>
          <w:bCs/>
          <w:color w:val="000000"/>
          <w:rtl/>
        </w:rPr>
        <w:t xml:space="preserve"> </w:t>
      </w:r>
    </w:p>
    <w:p w:rsidR="00D33E77" w:rsidRDefault="000118BE" w:rsidP="00D33E77">
      <w:pPr>
        <w:bidi/>
        <w:spacing w:line="360" w:lineRule="auto"/>
        <w:ind w:left="-86"/>
        <w:jc w:val="both"/>
        <w:rPr>
          <w:b/>
          <w:bCs/>
          <w:color w:val="000000"/>
          <w:rtl/>
        </w:rPr>
      </w:pPr>
      <w:r>
        <w:rPr>
          <w:rFonts w:hint="cs"/>
          <w:b/>
          <w:bCs/>
          <w:color w:val="000000"/>
          <w:rtl/>
        </w:rPr>
        <w:t xml:space="preserve">בית הדין פסק, כי </w:t>
      </w:r>
      <w:r w:rsidRPr="004C6767">
        <w:rPr>
          <w:b/>
          <w:bCs/>
          <w:color w:val="000000"/>
          <w:rtl/>
        </w:rPr>
        <w:t>עובד שסווג באופן שגוי כ"עצמאי" יהא זכאי לכל הזכויות הכספיות שנשללו ממנו</w:t>
      </w:r>
      <w:r w:rsidRPr="004C6767">
        <w:rPr>
          <w:rFonts w:hint="cs"/>
          <w:b/>
          <w:bCs/>
          <w:color w:val="000000"/>
          <w:rtl/>
        </w:rPr>
        <w:t xml:space="preserve"> </w:t>
      </w:r>
      <w:r w:rsidRPr="004C6767">
        <w:rPr>
          <w:b/>
          <w:bCs/>
          <w:color w:val="000000"/>
          <w:rtl/>
        </w:rPr>
        <w:t>על סמך השכר החלופי</w:t>
      </w:r>
      <w:r w:rsidRPr="004C6767">
        <w:rPr>
          <w:rFonts w:hint="cs"/>
          <w:b/>
          <w:bCs/>
          <w:color w:val="000000"/>
          <w:rtl/>
        </w:rPr>
        <w:t xml:space="preserve"> שהיה מקבל אילו היה מוגדר מלכתחילה כ"עובד</w:t>
      </w:r>
      <w:r>
        <w:rPr>
          <w:rFonts w:hint="cs"/>
          <w:b/>
          <w:bCs/>
          <w:color w:val="000000"/>
          <w:rtl/>
        </w:rPr>
        <w:t>,</w:t>
      </w:r>
      <w:r w:rsidRPr="004C6767">
        <w:rPr>
          <w:rFonts w:hint="cs"/>
          <w:b/>
          <w:bCs/>
          <w:color w:val="000000"/>
          <w:rtl/>
        </w:rPr>
        <w:t xml:space="preserve"> </w:t>
      </w:r>
      <w:r w:rsidRPr="004C6767">
        <w:rPr>
          <w:b/>
          <w:bCs/>
          <w:color w:val="000000"/>
          <w:rtl/>
        </w:rPr>
        <w:t xml:space="preserve">וזאת מבלי שניתן יהא לקזז </w:t>
      </w:r>
      <w:r w:rsidRPr="004C6767">
        <w:rPr>
          <w:b/>
          <w:bCs/>
          <w:color w:val="000000"/>
          <w:rtl/>
        </w:rPr>
        <w:lastRenderedPageBreak/>
        <w:t xml:space="preserve">ממנו </w:t>
      </w:r>
      <w:r w:rsidRPr="001F0EBC">
        <w:rPr>
          <w:rFonts w:ascii="Arial" w:eastAsia="Calibri" w:hAnsi="Arial"/>
          <w:b/>
          <w:bCs/>
          <w:sz w:val="24"/>
          <w:rtl/>
        </w:rPr>
        <w:t>סכום</w:t>
      </w:r>
      <w:r w:rsidRPr="004C6767">
        <w:rPr>
          <w:b/>
          <w:bCs/>
          <w:color w:val="000000"/>
          <w:rtl/>
        </w:rPr>
        <w:t xml:space="preserve"> כלשהו כתוצאה מהפער בין התמורה "הקבלנית" לבין השכר החלופי כפי שנקבע עבורו.</w:t>
      </w:r>
      <w:r w:rsidRPr="004C6767">
        <w:rPr>
          <w:rFonts w:hint="cs"/>
          <w:b/>
          <w:bCs/>
          <w:color w:val="000000"/>
          <w:rtl/>
        </w:rPr>
        <w:t xml:space="preserve"> </w:t>
      </w:r>
      <w:r w:rsidRPr="004C6767">
        <w:rPr>
          <w:b/>
          <w:bCs/>
          <w:color w:val="000000"/>
          <w:rtl/>
        </w:rPr>
        <w:t>סייג לכלל זה יתאפשר רק במקרים חריגים, בהם ישתכנע בית הדין בדבר חוסר תום לב קיצוני של המועסק.</w:t>
      </w:r>
      <w:r w:rsidRPr="004C6767">
        <w:rPr>
          <w:rFonts w:hint="cs"/>
          <w:b/>
          <w:bCs/>
          <w:color w:val="000000"/>
          <w:rtl/>
        </w:rPr>
        <w:t xml:space="preserve"> </w:t>
      </w:r>
      <w:r w:rsidRPr="004C6767">
        <w:rPr>
          <w:b/>
          <w:bCs/>
          <w:color w:val="000000"/>
          <w:rtl/>
        </w:rPr>
        <w:t xml:space="preserve">עצם הגשת התביעה להכרה במעמד ה"עובד" לאחר שנות התקשרות רבות לא תיחשב בשום מקרה בפני עצמה כהפרת חובת תום הלב. </w:t>
      </w:r>
    </w:p>
    <w:p w:rsidR="00D33E77" w:rsidRDefault="000118BE" w:rsidP="00D33E77">
      <w:pPr>
        <w:bidi/>
        <w:spacing w:line="360" w:lineRule="auto"/>
        <w:ind w:left="-86"/>
        <w:jc w:val="both"/>
        <w:rPr>
          <w:b/>
          <w:bCs/>
          <w:color w:val="000000"/>
          <w:rtl/>
        </w:rPr>
      </w:pPr>
      <w:r w:rsidRPr="004C6767">
        <w:rPr>
          <w:rFonts w:hint="cs"/>
          <w:b/>
          <w:bCs/>
          <w:color w:val="000000"/>
          <w:rtl/>
        </w:rPr>
        <w:t xml:space="preserve">לאור קבלת </w:t>
      </w:r>
      <w:r w:rsidRPr="004C6767">
        <w:rPr>
          <w:b/>
          <w:bCs/>
          <w:color w:val="000000"/>
          <w:rtl/>
        </w:rPr>
        <w:t>התביעה</w:t>
      </w:r>
      <w:r w:rsidRPr="004C6767">
        <w:rPr>
          <w:rFonts w:hint="cs"/>
          <w:b/>
          <w:bCs/>
          <w:color w:val="000000"/>
          <w:rtl/>
        </w:rPr>
        <w:t>, הנתבעת חויבה לשלם</w:t>
      </w:r>
      <w:r w:rsidRPr="004C6767">
        <w:rPr>
          <w:b/>
          <w:bCs/>
          <w:color w:val="000000"/>
          <w:rtl/>
        </w:rPr>
        <w:t xml:space="preserve"> לתובע פיצויי פיטורים בסך 62,419.5 ₪</w:t>
      </w:r>
      <w:r w:rsidRPr="004C6767">
        <w:rPr>
          <w:rFonts w:hint="cs"/>
          <w:b/>
          <w:bCs/>
          <w:color w:val="000000"/>
          <w:rtl/>
        </w:rPr>
        <w:t>,</w:t>
      </w:r>
      <w:r w:rsidRPr="004C6767">
        <w:rPr>
          <w:b/>
          <w:bCs/>
          <w:color w:val="000000"/>
          <w:rtl/>
        </w:rPr>
        <w:t xml:space="preserve"> פיצוי חלף הודעה מוקדמת בסך 11,349 ₪</w:t>
      </w:r>
      <w:r w:rsidRPr="004C6767">
        <w:rPr>
          <w:rFonts w:hint="cs"/>
          <w:b/>
          <w:bCs/>
          <w:color w:val="000000"/>
          <w:rtl/>
        </w:rPr>
        <w:t xml:space="preserve">, </w:t>
      </w:r>
      <w:r w:rsidRPr="004C6767">
        <w:rPr>
          <w:b/>
          <w:bCs/>
          <w:color w:val="000000"/>
          <w:rtl/>
        </w:rPr>
        <w:t>דמי הבראה בסך 2,728 ₪</w:t>
      </w:r>
      <w:r w:rsidRPr="004C6767">
        <w:rPr>
          <w:rFonts w:hint="cs"/>
          <w:b/>
          <w:bCs/>
          <w:color w:val="000000"/>
          <w:rtl/>
        </w:rPr>
        <w:t xml:space="preserve">, </w:t>
      </w:r>
      <w:r w:rsidRPr="004C6767">
        <w:rPr>
          <w:b/>
          <w:bCs/>
          <w:color w:val="000000"/>
          <w:rtl/>
        </w:rPr>
        <w:t>פיצוי בגין אי הפרשה לפנסיה בסך 681 ₪</w:t>
      </w:r>
      <w:r w:rsidRPr="004C6767">
        <w:rPr>
          <w:rFonts w:hint="cs"/>
          <w:b/>
          <w:bCs/>
          <w:color w:val="000000"/>
          <w:rtl/>
        </w:rPr>
        <w:t xml:space="preserve"> בצירוף </w:t>
      </w:r>
      <w:r w:rsidRPr="001F0EBC">
        <w:rPr>
          <w:rFonts w:ascii="Arial" w:eastAsia="Calibri" w:hAnsi="Arial" w:hint="cs"/>
          <w:b/>
          <w:bCs/>
          <w:sz w:val="24"/>
          <w:rtl/>
        </w:rPr>
        <w:t xml:space="preserve">הפרשי הצמדה וריבית, ובנוסף </w:t>
      </w:r>
      <w:r w:rsidRPr="001F0EBC">
        <w:rPr>
          <w:rFonts w:ascii="Arial" w:eastAsia="Calibri" w:hAnsi="Arial"/>
          <w:b/>
          <w:bCs/>
          <w:sz w:val="24"/>
          <w:rtl/>
        </w:rPr>
        <w:t xml:space="preserve">שכ"ט עו"ד בסך </w:t>
      </w:r>
      <w:r w:rsidRPr="001F0EBC">
        <w:rPr>
          <w:rFonts w:ascii="Arial" w:eastAsia="Calibri" w:hAnsi="Arial" w:hint="cs"/>
          <w:b/>
          <w:bCs/>
          <w:sz w:val="24"/>
          <w:rtl/>
        </w:rPr>
        <w:t>5</w:t>
      </w:r>
      <w:r w:rsidRPr="001F0EBC">
        <w:rPr>
          <w:rFonts w:ascii="Arial" w:eastAsia="Calibri" w:hAnsi="Arial"/>
          <w:b/>
          <w:bCs/>
          <w:sz w:val="24"/>
          <w:rtl/>
        </w:rPr>
        <w:t xml:space="preserve">,000 ₪. </w:t>
      </w:r>
    </w:p>
    <w:p w:rsidR="000118BE" w:rsidRPr="00D33E77" w:rsidRDefault="000118BE" w:rsidP="00D33E77">
      <w:pPr>
        <w:bidi/>
        <w:spacing w:line="360" w:lineRule="auto"/>
        <w:ind w:left="-86"/>
        <w:jc w:val="both"/>
        <w:rPr>
          <w:b/>
          <w:bCs/>
          <w:color w:val="000000"/>
          <w:rtl/>
        </w:rPr>
      </w:pPr>
      <w:r>
        <w:rPr>
          <w:rFonts w:ascii="David" w:hAnsi="David" w:hint="cs"/>
          <w:color w:val="000000"/>
          <w:sz w:val="22"/>
          <w:szCs w:val="22"/>
          <w:rtl/>
        </w:rPr>
        <w:t>תע"א (י-ם)</w:t>
      </w:r>
      <w:r w:rsidRPr="004A3CD9">
        <w:rPr>
          <w:rFonts w:ascii="David" w:hAnsi="David"/>
          <w:color w:val="000000"/>
          <w:sz w:val="22"/>
          <w:szCs w:val="22"/>
          <w:rtl/>
        </w:rPr>
        <w:t xml:space="preserve"> </w:t>
      </w:r>
      <w:r>
        <w:rPr>
          <w:rFonts w:ascii="David" w:hAnsi="David" w:hint="cs"/>
          <w:color w:val="000000"/>
          <w:sz w:val="22"/>
          <w:szCs w:val="22"/>
          <w:rtl/>
        </w:rPr>
        <w:t>3872-09</w:t>
      </w:r>
      <w:r w:rsidRPr="004A3CD9">
        <w:rPr>
          <w:rFonts w:hint="cs"/>
          <w:color w:val="FF0000"/>
          <w:sz w:val="22"/>
          <w:szCs w:val="22"/>
          <w:rtl/>
        </w:rPr>
        <w:t xml:space="preserve"> </w:t>
      </w:r>
      <w:r w:rsidRPr="004A3CD9">
        <w:rPr>
          <w:color w:val="FF0000"/>
          <w:sz w:val="22"/>
          <w:szCs w:val="22"/>
        </w:rPr>
        <w:t>●</w:t>
      </w:r>
      <w:r w:rsidRPr="004A3CD9">
        <w:rPr>
          <w:rFonts w:hint="cs"/>
          <w:color w:val="2B003A"/>
          <w:sz w:val="22"/>
          <w:szCs w:val="22"/>
          <w:rtl/>
        </w:rPr>
        <w:t xml:space="preserve"> </w:t>
      </w:r>
      <w:r w:rsidRPr="00014E5E">
        <w:rPr>
          <w:rFonts w:ascii="David" w:hAnsi="David" w:hint="cs"/>
          <w:b/>
          <w:bCs/>
          <w:color w:val="FF0000"/>
          <w:sz w:val="22"/>
          <w:szCs w:val="22"/>
          <w:rtl/>
        </w:rPr>
        <w:t>ישי הוכמן</w:t>
      </w:r>
      <w:r w:rsidRPr="00014E5E">
        <w:rPr>
          <w:rFonts w:ascii="David" w:hAnsi="David"/>
          <w:b/>
          <w:bCs/>
          <w:color w:val="FF0000"/>
          <w:sz w:val="22"/>
          <w:szCs w:val="22"/>
          <w:rtl/>
        </w:rPr>
        <w:t xml:space="preserve"> נ' </w:t>
      </w:r>
      <w:r w:rsidRPr="00014E5E">
        <w:rPr>
          <w:rFonts w:ascii="David" w:hAnsi="David" w:hint="cs"/>
          <w:b/>
          <w:bCs/>
          <w:color w:val="FF0000"/>
          <w:sz w:val="22"/>
          <w:szCs w:val="22"/>
          <w:rtl/>
        </w:rPr>
        <w:t>מדינת ישראל הנהלת בתי הדין הרבניים</w:t>
      </w:r>
      <w:r w:rsidRPr="00014E5E">
        <w:rPr>
          <w:rFonts w:ascii="David" w:hAnsi="David" w:hint="cs"/>
          <w:color w:val="FF0000"/>
          <w:sz w:val="22"/>
          <w:szCs w:val="22"/>
          <w:rtl/>
        </w:rPr>
        <w:t xml:space="preserve"> </w:t>
      </w:r>
      <w:r w:rsidRPr="002D18AF">
        <w:rPr>
          <w:rFonts w:ascii="David" w:hAnsi="David" w:hint="cs"/>
          <w:color w:val="000000"/>
          <w:sz w:val="22"/>
          <w:szCs w:val="22"/>
          <w:rtl/>
        </w:rPr>
        <w:t>(</w:t>
      </w:r>
      <w:r>
        <w:rPr>
          <w:rFonts w:ascii="David" w:hAnsi="David" w:hint="cs"/>
          <w:color w:val="000000"/>
          <w:sz w:val="22"/>
          <w:szCs w:val="22"/>
          <w:rtl/>
        </w:rPr>
        <w:t>21.4.13</w:t>
      </w:r>
      <w:r w:rsidRPr="002D18AF">
        <w:rPr>
          <w:rFonts w:ascii="David" w:hAnsi="David" w:hint="cs"/>
          <w:color w:val="000000"/>
          <w:sz w:val="22"/>
          <w:szCs w:val="22"/>
          <w:rtl/>
        </w:rPr>
        <w:t xml:space="preserve">) </w:t>
      </w:r>
      <w:r w:rsidRPr="002D18AF">
        <w:rPr>
          <w:rFonts w:ascii="David" w:hAnsi="David"/>
          <w:color w:val="000000"/>
          <w:sz w:val="22"/>
          <w:szCs w:val="22"/>
        </w:rPr>
        <w:t xml:space="preserve"> </w:t>
      </w:r>
      <w:r w:rsidRPr="004A3CD9">
        <w:rPr>
          <w:color w:val="FF0000"/>
          <w:sz w:val="22"/>
          <w:szCs w:val="22"/>
        </w:rPr>
        <w:t>●</w:t>
      </w:r>
      <w:r w:rsidRPr="002D18AF">
        <w:rPr>
          <w:rFonts w:ascii="David" w:hAnsi="David" w:hint="cs"/>
          <w:color w:val="000000"/>
          <w:sz w:val="22"/>
          <w:szCs w:val="22"/>
          <w:rtl/>
        </w:rPr>
        <w:t xml:space="preserve">בפני כבוד </w:t>
      </w:r>
      <w:r>
        <w:rPr>
          <w:rFonts w:ascii="David" w:hAnsi="David" w:hint="cs"/>
          <w:color w:val="000000"/>
          <w:sz w:val="22"/>
          <w:szCs w:val="22"/>
          <w:rtl/>
        </w:rPr>
        <w:t>השופט דניאל גולדברג</w:t>
      </w:r>
      <w:r w:rsidRPr="002D18AF">
        <w:rPr>
          <w:rFonts w:ascii="David" w:hAnsi="David" w:hint="cs"/>
          <w:color w:val="000000"/>
          <w:sz w:val="22"/>
          <w:szCs w:val="22"/>
          <w:rtl/>
        </w:rPr>
        <w:t>, נ.</w:t>
      </w:r>
      <w:r>
        <w:rPr>
          <w:rFonts w:ascii="David" w:hAnsi="David" w:hint="cs"/>
          <w:color w:val="000000"/>
          <w:sz w:val="22"/>
          <w:szCs w:val="22"/>
          <w:rtl/>
        </w:rPr>
        <w:t>צ</w:t>
      </w:r>
      <w:r w:rsidRPr="002D18AF">
        <w:rPr>
          <w:rFonts w:ascii="David" w:hAnsi="David" w:hint="cs"/>
          <w:color w:val="000000"/>
          <w:sz w:val="22"/>
          <w:szCs w:val="22"/>
          <w:rtl/>
        </w:rPr>
        <w:t xml:space="preserve">. מר </w:t>
      </w:r>
      <w:r>
        <w:rPr>
          <w:rFonts w:ascii="David" w:hAnsi="David" w:hint="cs"/>
          <w:color w:val="000000"/>
          <w:sz w:val="22"/>
          <w:szCs w:val="22"/>
          <w:rtl/>
        </w:rPr>
        <w:t>אברהם שלו</w:t>
      </w:r>
      <w:r w:rsidRPr="002D18AF">
        <w:rPr>
          <w:rFonts w:ascii="David" w:hAnsi="David" w:hint="cs"/>
          <w:color w:val="000000"/>
          <w:sz w:val="22"/>
          <w:szCs w:val="22"/>
          <w:rtl/>
        </w:rPr>
        <w:t>, נ.</w:t>
      </w:r>
      <w:r>
        <w:rPr>
          <w:rFonts w:ascii="David" w:hAnsi="David" w:hint="cs"/>
          <w:color w:val="000000"/>
          <w:sz w:val="22"/>
          <w:szCs w:val="22"/>
          <w:rtl/>
        </w:rPr>
        <w:t>צ</w:t>
      </w:r>
      <w:r w:rsidRPr="002D18AF">
        <w:rPr>
          <w:rFonts w:ascii="David" w:hAnsi="David" w:hint="cs"/>
          <w:color w:val="000000"/>
          <w:sz w:val="22"/>
          <w:szCs w:val="22"/>
          <w:rtl/>
        </w:rPr>
        <w:t xml:space="preserve">. </w:t>
      </w:r>
      <w:r>
        <w:rPr>
          <w:rFonts w:ascii="David" w:hAnsi="David" w:hint="cs"/>
          <w:color w:val="000000"/>
          <w:sz w:val="22"/>
          <w:szCs w:val="22"/>
          <w:rtl/>
        </w:rPr>
        <w:t>הגב' נירה עילם</w:t>
      </w:r>
    </w:p>
    <w:p w:rsidR="000118BE" w:rsidRDefault="000118BE" w:rsidP="00A8553B">
      <w:pPr>
        <w:tabs>
          <w:tab w:val="left" w:pos="44"/>
          <w:tab w:val="left" w:pos="90"/>
        </w:tabs>
        <w:bidi/>
        <w:spacing w:line="360" w:lineRule="auto"/>
        <w:ind w:left="44" w:right="-180"/>
        <w:jc w:val="both"/>
        <w:rPr>
          <w:rFonts w:ascii="David" w:eastAsia="Calibri" w:hAnsi="David"/>
          <w:color w:val="000000"/>
          <w:sz w:val="22"/>
          <w:szCs w:val="22"/>
          <w:rtl/>
        </w:rPr>
      </w:pPr>
    </w:p>
    <w:p w:rsidR="000118BE" w:rsidRDefault="000118BE" w:rsidP="00A8553B">
      <w:pPr>
        <w:numPr>
          <w:ilvl w:val="0"/>
          <w:numId w:val="4"/>
        </w:numPr>
        <w:bidi/>
        <w:spacing w:line="360" w:lineRule="auto"/>
        <w:jc w:val="both"/>
        <w:outlineLvl w:val="2"/>
        <w:rPr>
          <w:rFonts w:ascii="David" w:hAnsi="David"/>
          <w:b/>
          <w:bCs/>
          <w:color w:val="FF0000"/>
          <w:sz w:val="32"/>
          <w:szCs w:val="26"/>
          <w:u w:val="single"/>
        </w:rPr>
      </w:pPr>
      <w:bookmarkStart w:id="22" w:name="_Toc383530616"/>
      <w:bookmarkStart w:id="23" w:name="_Toc383587154"/>
      <w:bookmarkStart w:id="24" w:name="_Toc383587359"/>
      <w:bookmarkStart w:id="25" w:name="_Toc383587801"/>
      <w:r>
        <w:rPr>
          <w:rFonts w:ascii="David" w:hAnsi="David" w:hint="cs"/>
          <w:b/>
          <w:bCs/>
          <w:color w:val="FF0000"/>
          <w:sz w:val="32"/>
          <w:szCs w:val="26"/>
          <w:u w:val="single"/>
          <w:rtl/>
        </w:rPr>
        <w:t>חברות כח אדם</w:t>
      </w:r>
      <w:bookmarkEnd w:id="22"/>
      <w:bookmarkEnd w:id="23"/>
      <w:bookmarkEnd w:id="24"/>
      <w:bookmarkEnd w:id="25"/>
    </w:p>
    <w:p w:rsidR="000118BE" w:rsidRDefault="000118BE" w:rsidP="00D33E77">
      <w:pPr>
        <w:tabs>
          <w:tab w:val="left" w:pos="90"/>
          <w:tab w:val="left" w:pos="392"/>
        </w:tabs>
        <w:bidi/>
        <w:ind w:left="-118" w:right="-180"/>
        <w:jc w:val="both"/>
        <w:rPr>
          <w:rFonts w:ascii="Arial" w:hAnsi="Arial"/>
          <w:b/>
          <w:bCs/>
          <w:color w:val="008000"/>
          <w:sz w:val="28"/>
          <w:szCs w:val="28"/>
          <w:u w:val="single"/>
          <w:rtl/>
        </w:rPr>
      </w:pPr>
    </w:p>
    <w:p w:rsidR="000118BE" w:rsidRPr="00BD3500" w:rsidRDefault="000118BE" w:rsidP="00A8553B">
      <w:pPr>
        <w:numPr>
          <w:ilvl w:val="0"/>
          <w:numId w:val="20"/>
        </w:numPr>
        <w:tabs>
          <w:tab w:val="left" w:pos="70"/>
        </w:tabs>
        <w:bidi/>
        <w:spacing w:line="360" w:lineRule="auto"/>
        <w:jc w:val="both"/>
        <w:rPr>
          <w:rFonts w:ascii="Arial" w:hAnsi="Arial"/>
          <w:b/>
          <w:bCs/>
          <w:color w:val="0000FF"/>
          <w:sz w:val="24"/>
          <w:u w:val="single"/>
          <w:rtl/>
        </w:rPr>
      </w:pPr>
      <w:r w:rsidRPr="00BD3500">
        <w:rPr>
          <w:rFonts w:ascii="Arial" w:hAnsi="Arial" w:hint="cs"/>
          <w:b/>
          <w:bCs/>
          <w:color w:val="0000FF"/>
          <w:sz w:val="24"/>
          <w:u w:val="single"/>
          <w:rtl/>
        </w:rPr>
        <w:t>העסקה על ידי קבלן כוח אדם אינה אסורה כשלעצמה ויש לבחון את הנסיבות</w:t>
      </w:r>
    </w:p>
    <w:p w:rsidR="000118BE" w:rsidRPr="00B36B47" w:rsidRDefault="000118BE" w:rsidP="00D33E77">
      <w:pPr>
        <w:tabs>
          <w:tab w:val="left" w:pos="90"/>
          <w:tab w:val="left" w:pos="392"/>
        </w:tabs>
        <w:bidi/>
        <w:ind w:left="-118" w:right="-180"/>
        <w:jc w:val="both"/>
        <w:rPr>
          <w:rFonts w:eastAsia="Calibri"/>
          <w:b/>
          <w:bCs/>
          <w:color w:val="000000"/>
          <w:sz w:val="24"/>
          <w:rtl/>
        </w:rPr>
      </w:pPr>
    </w:p>
    <w:p w:rsidR="000118BE" w:rsidRPr="0017161B" w:rsidRDefault="000118BE" w:rsidP="00A8553B">
      <w:pPr>
        <w:tabs>
          <w:tab w:val="left" w:pos="90"/>
          <w:tab w:val="left" w:pos="392"/>
        </w:tabs>
        <w:bidi/>
        <w:spacing w:line="360" w:lineRule="auto"/>
        <w:ind w:left="29" w:right="-180"/>
        <w:jc w:val="both"/>
        <w:rPr>
          <w:rFonts w:eastAsia="Calibri"/>
          <w:b/>
          <w:bCs/>
          <w:color w:val="000000"/>
          <w:sz w:val="24"/>
          <w:rtl/>
        </w:rPr>
      </w:pPr>
      <w:r w:rsidRPr="0017161B">
        <w:rPr>
          <w:rFonts w:eastAsia="Calibri" w:hint="cs"/>
          <w:b/>
          <w:bCs/>
          <w:color w:val="000000"/>
          <w:sz w:val="24"/>
          <w:rtl/>
        </w:rPr>
        <w:t xml:space="preserve">חברת יישום, חברת כוח אדם, חתמה על הסכם עם חברת יורוקום לפיו היא תגייס עובדים עבור יורוקום. בענייננו, העובדת הוצבה לעבודה בחברת יורוקום ב- 5.3.09, לאחר שרואיינה לתפקיד על ידי מנהל הייצור ביורוקום. ב-26.5.09 הודיע בעלה שהעובדת בהריון וב-16.6.09 מנהל הייצור ביורוקום הודיע לעובדת על סיום הצבתה בחברה. העובדת הודיעה על כך לחברת יישום ובתאריך ה-23.6.09, כעבור כשלושה חודשי עבודה, נמסר לעובדת מכתב פיטורים על ידי חברת יישום. לטענת העובדת, חברת יישום לא הציבה אותה לעבודה אחרת בשל הריונה.  </w:t>
      </w:r>
    </w:p>
    <w:p w:rsidR="000118BE" w:rsidRPr="0017161B" w:rsidRDefault="000118BE" w:rsidP="00A8553B">
      <w:pPr>
        <w:tabs>
          <w:tab w:val="left" w:pos="90"/>
          <w:tab w:val="left" w:pos="392"/>
        </w:tabs>
        <w:bidi/>
        <w:spacing w:line="360" w:lineRule="auto"/>
        <w:ind w:left="29" w:right="-180"/>
        <w:jc w:val="both"/>
        <w:rPr>
          <w:rFonts w:eastAsia="Calibri"/>
          <w:b/>
          <w:bCs/>
          <w:color w:val="000000"/>
          <w:sz w:val="24"/>
          <w:rtl/>
        </w:rPr>
      </w:pPr>
      <w:r w:rsidRPr="0017161B">
        <w:rPr>
          <w:rFonts w:eastAsia="Calibri" w:hint="cs"/>
          <w:b/>
          <w:bCs/>
          <w:color w:val="000000"/>
          <w:sz w:val="24"/>
          <w:rtl/>
        </w:rPr>
        <w:t>בית הדין האזורי פסק כי שתי החברות היו מעסיקותיה במשותף של העובדת וכי הן חבות לה סכומים שונים בגין פיטוריה שלא כדין, ובכלל זה בשל היותה בהריון.</w:t>
      </w:r>
    </w:p>
    <w:p w:rsidR="000118BE" w:rsidRPr="0017161B" w:rsidRDefault="000118BE" w:rsidP="00A8553B">
      <w:pPr>
        <w:tabs>
          <w:tab w:val="left" w:pos="90"/>
          <w:tab w:val="left" w:pos="392"/>
        </w:tabs>
        <w:bidi/>
        <w:spacing w:line="360" w:lineRule="auto"/>
        <w:ind w:left="29" w:right="-180"/>
        <w:jc w:val="both"/>
        <w:rPr>
          <w:rFonts w:eastAsia="Calibri"/>
          <w:b/>
          <w:bCs/>
          <w:color w:val="000000"/>
          <w:sz w:val="24"/>
          <w:rtl/>
        </w:rPr>
      </w:pPr>
      <w:r w:rsidRPr="0017161B">
        <w:rPr>
          <w:rFonts w:eastAsia="Calibri" w:hint="cs"/>
          <w:b/>
          <w:bCs/>
          <w:color w:val="000000"/>
          <w:sz w:val="24"/>
          <w:rtl/>
        </w:rPr>
        <w:t xml:space="preserve">בית הדין הארצי הפך את הפסק. הוא קיבל את ערעורה של חברת יישום במלואו ואת ערעורה של חברת יורוקום בחלקו ופסק כי על פי נסיבות המקרה מדובר בתבנית העסקה אותנטית של העסקת עובד באמצעות קבלן כוח אדם. לפיכך, חברת יורוקום לא הייתה מעבידה של העובדת, לא לבד ולא במשותף עם חברת יישום. יורוקום היוותה מעסיקה בפועל (משתמש), ואילו רק חברת יישום היוותה מעסיקה של העובדת. כמו כן, נפסק כי העובדת פוטרה לבקשתה, באמצעות בעלה, ובשל כך חברת יישום לא תשלם לעובדת סכומים בגין סיום העבודה. </w:t>
      </w:r>
    </w:p>
    <w:p w:rsidR="000118BE" w:rsidRPr="0017161B" w:rsidRDefault="000118BE" w:rsidP="00A8553B">
      <w:pPr>
        <w:tabs>
          <w:tab w:val="left" w:pos="90"/>
          <w:tab w:val="left" w:pos="392"/>
        </w:tabs>
        <w:bidi/>
        <w:spacing w:line="360" w:lineRule="auto"/>
        <w:ind w:left="29" w:right="-180"/>
        <w:jc w:val="both"/>
        <w:rPr>
          <w:rFonts w:eastAsia="Calibri"/>
          <w:b/>
          <w:bCs/>
          <w:color w:val="000000"/>
          <w:sz w:val="24"/>
          <w:rtl/>
        </w:rPr>
      </w:pPr>
      <w:r w:rsidRPr="0017161B">
        <w:rPr>
          <w:rFonts w:eastAsia="Calibri" w:hint="cs"/>
          <w:b/>
          <w:bCs/>
          <w:color w:val="000000"/>
          <w:sz w:val="24"/>
          <w:rtl/>
        </w:rPr>
        <w:t xml:space="preserve">באשר לחברת יורוקום, היא לא הרימה את הנטל להוכיח כי סיום העסקת העובדת לא היה מחמת הריונה וחייבת לפצות את העובדת בגין הפרת חוק שוויון הזדמנויות בעבודה. הפיצוי הממוני בגין אובדן שכר עבודה של העובדת בהריון הופחת לסך של 16,978 ₪, בהתחשב בניכוי דמי האבטלה שהעובדת קיבלה. הפיצוי בגין הנזק הלא ממוני, שהוגדר כחורג ממתחם הסבירות, הופחת מסך של 60,000 ₪ לסך של 30,000 ₪. מאידך, חויבה העובדת לשלם לחברת יישום, שערעורה התקבל, הוצאות משפט בסך 7,000 ₪. </w:t>
      </w:r>
    </w:p>
    <w:p w:rsidR="000118BE" w:rsidRDefault="000118BE" w:rsidP="00A8553B">
      <w:pPr>
        <w:tabs>
          <w:tab w:val="left" w:pos="90"/>
          <w:tab w:val="left" w:pos="392"/>
        </w:tabs>
        <w:bidi/>
        <w:spacing w:line="360" w:lineRule="auto"/>
        <w:ind w:left="29" w:right="-180"/>
        <w:jc w:val="both"/>
        <w:rPr>
          <w:rFonts w:eastAsia="Calibri"/>
          <w:color w:val="FFFFFF"/>
          <w:sz w:val="22"/>
          <w:szCs w:val="22"/>
          <w:rtl/>
        </w:rPr>
      </w:pPr>
      <w:r w:rsidRPr="0017161B">
        <w:rPr>
          <w:rFonts w:ascii="David" w:hAnsi="David" w:hint="cs"/>
          <w:sz w:val="22"/>
          <w:szCs w:val="22"/>
          <w:rtl/>
        </w:rPr>
        <w:t>עע (ארצי)</w:t>
      </w:r>
      <w:r w:rsidRPr="0017161B">
        <w:rPr>
          <w:rFonts w:ascii="David" w:hAnsi="David"/>
          <w:sz w:val="22"/>
          <w:szCs w:val="22"/>
          <w:rtl/>
        </w:rPr>
        <w:t xml:space="preserve"> </w:t>
      </w:r>
      <w:r w:rsidRPr="0017161B">
        <w:rPr>
          <w:rFonts w:ascii="David" w:hAnsi="David" w:hint="cs"/>
          <w:sz w:val="22"/>
          <w:szCs w:val="22"/>
          <w:rtl/>
        </w:rPr>
        <w:t>30585</w:t>
      </w:r>
      <w:r w:rsidRPr="0017161B">
        <w:rPr>
          <w:rFonts w:ascii="David" w:hAnsi="David"/>
          <w:sz w:val="22"/>
          <w:szCs w:val="22"/>
          <w:rtl/>
        </w:rPr>
        <w:t>-</w:t>
      </w:r>
      <w:r w:rsidRPr="0017161B">
        <w:rPr>
          <w:rFonts w:ascii="David" w:hAnsi="David" w:hint="cs"/>
          <w:sz w:val="22"/>
          <w:szCs w:val="22"/>
          <w:rtl/>
        </w:rPr>
        <w:t>09</w:t>
      </w:r>
      <w:r w:rsidRPr="0017161B">
        <w:rPr>
          <w:rFonts w:ascii="David" w:hAnsi="David"/>
          <w:sz w:val="22"/>
          <w:szCs w:val="22"/>
          <w:rtl/>
        </w:rPr>
        <w:t>-1</w:t>
      </w:r>
      <w:r w:rsidRPr="0017161B">
        <w:rPr>
          <w:rFonts w:ascii="David" w:hAnsi="David" w:hint="cs"/>
          <w:sz w:val="22"/>
          <w:szCs w:val="22"/>
          <w:rtl/>
        </w:rPr>
        <w:t xml:space="preserve">2 </w:t>
      </w:r>
      <w:r w:rsidRPr="0017161B">
        <w:rPr>
          <w:color w:val="FF0000"/>
          <w:sz w:val="22"/>
          <w:szCs w:val="22"/>
        </w:rPr>
        <w:t>●</w:t>
      </w:r>
      <w:r w:rsidRPr="0017161B">
        <w:rPr>
          <w:rFonts w:ascii="David" w:hAnsi="David" w:hint="cs"/>
          <w:b/>
          <w:bCs/>
          <w:sz w:val="22"/>
          <w:szCs w:val="22"/>
          <w:rtl/>
        </w:rPr>
        <w:t xml:space="preserve"> </w:t>
      </w:r>
      <w:r w:rsidRPr="00014E5E">
        <w:rPr>
          <w:rFonts w:ascii="David" w:hAnsi="David" w:hint="cs"/>
          <w:b/>
          <w:bCs/>
          <w:color w:val="FF0000"/>
          <w:sz w:val="22"/>
          <w:szCs w:val="22"/>
          <w:rtl/>
        </w:rPr>
        <w:t>חברת יישום פתרונות אנושיים בע"מ נ' אורית בוסי</w:t>
      </w:r>
      <w:r w:rsidRPr="00014E5E">
        <w:rPr>
          <w:rFonts w:ascii="David" w:hAnsi="David" w:hint="cs"/>
          <w:color w:val="FF0000"/>
          <w:sz w:val="22"/>
          <w:szCs w:val="22"/>
          <w:rtl/>
        </w:rPr>
        <w:t xml:space="preserve">  </w:t>
      </w:r>
      <w:r w:rsidRPr="0017161B">
        <w:rPr>
          <w:rFonts w:ascii="David" w:hAnsi="David" w:hint="cs"/>
          <w:sz w:val="22"/>
          <w:szCs w:val="22"/>
          <w:rtl/>
        </w:rPr>
        <w:t xml:space="preserve">(04.08.13) </w:t>
      </w:r>
      <w:r w:rsidRPr="0017161B">
        <w:rPr>
          <w:rFonts w:ascii="David" w:hAnsi="David"/>
          <w:sz w:val="22"/>
          <w:szCs w:val="22"/>
        </w:rPr>
        <w:t xml:space="preserve"> </w:t>
      </w:r>
      <w:r w:rsidRPr="0017161B">
        <w:rPr>
          <w:color w:val="FF0000"/>
          <w:sz w:val="22"/>
          <w:szCs w:val="22"/>
        </w:rPr>
        <w:t>●</w:t>
      </w:r>
      <w:r w:rsidRPr="0017161B">
        <w:rPr>
          <w:rFonts w:ascii="David" w:hAnsi="David" w:hint="cs"/>
          <w:sz w:val="22"/>
          <w:szCs w:val="22"/>
          <w:rtl/>
        </w:rPr>
        <w:t>בפני כבוד אב"ד השופט יגאל פליטמן, השופטת לאה גליקסמן, השופט אילן איטח, נ.ע. מר שלום חבשוש, נ.מ. מר יחזקאל דקסל</w:t>
      </w:r>
    </w:p>
    <w:p w:rsidR="00845173" w:rsidRDefault="00845173" w:rsidP="00A8553B">
      <w:pPr>
        <w:numPr>
          <w:ilvl w:val="0"/>
          <w:numId w:val="4"/>
        </w:numPr>
        <w:bidi/>
        <w:spacing w:line="360" w:lineRule="auto"/>
        <w:jc w:val="both"/>
        <w:outlineLvl w:val="2"/>
        <w:rPr>
          <w:rFonts w:ascii="David" w:hAnsi="David"/>
          <w:b/>
          <w:bCs/>
          <w:color w:val="FF0000"/>
          <w:sz w:val="32"/>
          <w:szCs w:val="26"/>
          <w:u w:val="single"/>
        </w:rPr>
      </w:pPr>
      <w:r>
        <w:rPr>
          <w:rFonts w:ascii="David" w:hAnsi="David" w:hint="cs"/>
          <w:b/>
          <w:bCs/>
          <w:color w:val="FF0000"/>
          <w:sz w:val="32"/>
          <w:szCs w:val="26"/>
          <w:u w:val="single"/>
          <w:rtl/>
        </w:rPr>
        <w:lastRenderedPageBreak/>
        <w:t>שינוי מעביד</w:t>
      </w:r>
    </w:p>
    <w:p w:rsidR="00845173" w:rsidRPr="005E36E4" w:rsidRDefault="00845173" w:rsidP="00BB6448">
      <w:pPr>
        <w:bidi/>
        <w:jc w:val="both"/>
        <w:outlineLvl w:val="2"/>
        <w:rPr>
          <w:rFonts w:ascii="David" w:hAnsi="David"/>
          <w:b/>
          <w:bCs/>
          <w:color w:val="FF0000"/>
          <w:sz w:val="32"/>
          <w:szCs w:val="26"/>
          <w:u w:val="single"/>
        </w:rPr>
      </w:pPr>
    </w:p>
    <w:p w:rsidR="00845173" w:rsidRPr="00BD3500" w:rsidRDefault="00845173" w:rsidP="004F692C">
      <w:pPr>
        <w:pStyle w:val="af7"/>
        <w:numPr>
          <w:ilvl w:val="0"/>
          <w:numId w:val="46"/>
        </w:numPr>
        <w:tabs>
          <w:tab w:val="left" w:pos="70"/>
        </w:tabs>
        <w:bidi/>
        <w:spacing w:line="360" w:lineRule="auto"/>
        <w:jc w:val="both"/>
        <w:rPr>
          <w:rFonts w:ascii="Arial" w:hAnsi="Arial"/>
          <w:b/>
          <w:bCs/>
          <w:color w:val="0000FF"/>
          <w:sz w:val="24"/>
          <w:u w:val="single"/>
        </w:rPr>
      </w:pPr>
      <w:r w:rsidRPr="00BD3500">
        <w:rPr>
          <w:rFonts w:ascii="Arial" w:hAnsi="Arial" w:hint="cs"/>
          <w:b/>
          <w:bCs/>
          <w:color w:val="0000FF"/>
          <w:sz w:val="24"/>
          <w:u w:val="single"/>
          <w:rtl/>
        </w:rPr>
        <w:t>המשך עבודה אחרי מכירת עסק אינו מהווה הסכמה של העובד לשינוי מעביד</w:t>
      </w:r>
    </w:p>
    <w:p w:rsidR="00845173" w:rsidRPr="00B325FB" w:rsidRDefault="00845173" w:rsidP="00BB6448">
      <w:pPr>
        <w:tabs>
          <w:tab w:val="left" w:pos="-290"/>
        </w:tabs>
        <w:ind w:left="-290" w:right="-180"/>
        <w:jc w:val="both"/>
        <w:rPr>
          <w:rFonts w:ascii="Arial" w:hAnsi="Arial"/>
          <w:b/>
          <w:bCs/>
          <w:color w:val="008000"/>
          <w:sz w:val="24"/>
          <w:u w:val="single"/>
          <w:rtl/>
        </w:rPr>
      </w:pPr>
    </w:p>
    <w:p w:rsidR="00213319" w:rsidRPr="00213319" w:rsidRDefault="00213319" w:rsidP="00A8553B">
      <w:pPr>
        <w:tabs>
          <w:tab w:val="left" w:pos="90"/>
          <w:tab w:val="left" w:pos="392"/>
        </w:tabs>
        <w:bidi/>
        <w:spacing w:line="360" w:lineRule="auto"/>
        <w:ind w:left="29" w:right="-180"/>
        <w:jc w:val="both"/>
        <w:rPr>
          <w:b/>
          <w:bCs/>
          <w:rtl/>
        </w:rPr>
      </w:pPr>
      <w:r w:rsidRPr="00213319">
        <w:rPr>
          <w:b/>
          <w:bCs/>
          <w:rtl/>
        </w:rPr>
        <w:t xml:space="preserve">ביה"ד </w:t>
      </w:r>
      <w:r w:rsidRPr="00213319">
        <w:rPr>
          <w:rFonts w:hint="cs"/>
          <w:b/>
          <w:bCs/>
          <w:rtl/>
        </w:rPr>
        <w:t xml:space="preserve">האזורי לעבודה בבאר-שבע קבע, כי </w:t>
      </w:r>
      <w:r w:rsidRPr="00213319">
        <w:rPr>
          <w:b/>
          <w:bCs/>
          <w:rtl/>
        </w:rPr>
        <w:t xml:space="preserve">בהיעדר הסכמה מצידם של עובדים למעבר למעביד חדש, או לחלופין היעדר אקט של פיטורים מטעם המעביד המקורי, עובדים ממשיכים להיות קשורים בקשר חוזי עם מעבידם המקורי. </w:t>
      </w:r>
      <w:r w:rsidRPr="00213319">
        <w:rPr>
          <w:rFonts w:hint="cs"/>
          <w:b/>
          <w:bCs/>
          <w:rtl/>
        </w:rPr>
        <w:t xml:space="preserve">זאת, אף על פי שהתביעה </w:t>
      </w:r>
      <w:r w:rsidRPr="00213319">
        <w:rPr>
          <w:b/>
          <w:bCs/>
          <w:rtl/>
        </w:rPr>
        <w:t>הוגשה בחלוף כשנה וחצי לאחר שהתובעת ידעה על חילופי הבעלים</w:t>
      </w:r>
      <w:r w:rsidRPr="00213319">
        <w:rPr>
          <w:rFonts w:hint="cs"/>
          <w:b/>
          <w:bCs/>
          <w:rtl/>
        </w:rPr>
        <w:t xml:space="preserve"> והמשיכה לעבוד בנתבעת</w:t>
      </w:r>
      <w:r w:rsidRPr="00213319">
        <w:rPr>
          <w:b/>
          <w:bCs/>
          <w:rtl/>
        </w:rPr>
        <w:t>.</w:t>
      </w:r>
      <w:r w:rsidRPr="00213319">
        <w:rPr>
          <w:rFonts w:hint="cs"/>
          <w:b/>
          <w:bCs/>
          <w:rtl/>
        </w:rPr>
        <w:t xml:space="preserve"> </w:t>
      </w:r>
    </w:p>
    <w:p w:rsidR="00213319" w:rsidRPr="00213319" w:rsidRDefault="00213319" w:rsidP="00A8553B">
      <w:pPr>
        <w:tabs>
          <w:tab w:val="left" w:pos="90"/>
          <w:tab w:val="left" w:pos="392"/>
        </w:tabs>
        <w:bidi/>
        <w:spacing w:line="360" w:lineRule="auto"/>
        <w:ind w:left="29" w:right="-180"/>
        <w:jc w:val="both"/>
        <w:rPr>
          <w:b/>
          <w:bCs/>
          <w:rtl/>
        </w:rPr>
      </w:pPr>
      <w:r w:rsidRPr="00213319">
        <w:rPr>
          <w:rFonts w:hint="cs"/>
          <w:b/>
          <w:bCs/>
          <w:rtl/>
        </w:rPr>
        <w:t xml:space="preserve">בית הדין פסק, כי </w:t>
      </w:r>
      <w:r w:rsidRPr="00213319">
        <w:rPr>
          <w:b/>
          <w:bCs/>
          <w:rtl/>
        </w:rPr>
        <w:t>לעובדים קיימת זכות לבחור את מעסיקם</w:t>
      </w:r>
      <w:r w:rsidRPr="00213319">
        <w:rPr>
          <w:rFonts w:hint="cs"/>
          <w:b/>
          <w:bCs/>
          <w:rtl/>
        </w:rPr>
        <w:t xml:space="preserve"> ו</w:t>
      </w:r>
      <w:r w:rsidRPr="00213319">
        <w:rPr>
          <w:b/>
          <w:bCs/>
          <w:rtl/>
        </w:rPr>
        <w:t>על כן העברת עובד למעביד אחר דורשת את הסכמתו המפורשת או המשתמעת של העובד אם מראש בעת כריתת חוזה ההעסקה או קשירת יחסי עבודה ואם בעת חילופי המעבידים.</w:t>
      </w:r>
      <w:r w:rsidRPr="00213319">
        <w:rPr>
          <w:rFonts w:hint="cs"/>
          <w:b/>
          <w:bCs/>
          <w:rtl/>
        </w:rPr>
        <w:t xml:space="preserve"> </w:t>
      </w:r>
    </w:p>
    <w:p w:rsidR="00213319" w:rsidRPr="00213319" w:rsidRDefault="00213319" w:rsidP="00A8553B">
      <w:pPr>
        <w:tabs>
          <w:tab w:val="left" w:pos="90"/>
          <w:tab w:val="left" w:pos="392"/>
        </w:tabs>
        <w:bidi/>
        <w:spacing w:line="360" w:lineRule="auto"/>
        <w:ind w:left="29" w:right="-180"/>
        <w:jc w:val="both"/>
        <w:rPr>
          <w:b/>
          <w:bCs/>
          <w:rtl/>
        </w:rPr>
      </w:pPr>
      <w:r w:rsidRPr="00213319">
        <w:rPr>
          <w:rFonts w:hint="cs"/>
          <w:b/>
          <w:bCs/>
          <w:rtl/>
        </w:rPr>
        <w:t xml:space="preserve">בהיעדר תניה חוזית אחרת, ניתן </w:t>
      </w:r>
      <w:r w:rsidRPr="00213319">
        <w:rPr>
          <w:b/>
          <w:bCs/>
          <w:rtl/>
        </w:rPr>
        <w:t>לראות בעובדים כמסכימים</w:t>
      </w:r>
      <w:r w:rsidRPr="00213319">
        <w:rPr>
          <w:rFonts w:hint="cs"/>
          <w:b/>
          <w:bCs/>
          <w:rtl/>
        </w:rPr>
        <w:t xml:space="preserve"> במשתמע</w:t>
      </w:r>
      <w:r w:rsidRPr="00213319">
        <w:rPr>
          <w:b/>
          <w:bCs/>
          <w:rtl/>
        </w:rPr>
        <w:t xml:space="preserve"> ל</w:t>
      </w:r>
      <w:r w:rsidRPr="00213319">
        <w:rPr>
          <w:rFonts w:hint="cs"/>
          <w:b/>
          <w:bCs/>
          <w:rtl/>
        </w:rPr>
        <w:t xml:space="preserve">ביצועם של </w:t>
      </w:r>
      <w:r w:rsidRPr="00213319">
        <w:rPr>
          <w:b/>
          <w:bCs/>
          <w:rtl/>
        </w:rPr>
        <w:t xml:space="preserve">שינויים המתבצעים תדיר במקום העבודה, שינויים הנדרשים לצורך תפעולו השוטף והיומיומי של העסק כעסק חי ומתפקד בסביבה דינמית ומשתנה. </w:t>
      </w:r>
      <w:r w:rsidRPr="00213319">
        <w:rPr>
          <w:rFonts w:hint="cs"/>
          <w:b/>
          <w:bCs/>
          <w:rtl/>
        </w:rPr>
        <w:t xml:space="preserve">אולם, </w:t>
      </w:r>
      <w:r w:rsidRPr="00213319">
        <w:rPr>
          <w:b/>
          <w:bCs/>
          <w:rtl/>
        </w:rPr>
        <w:t xml:space="preserve">קיימים שינויים אורגניים, </w:t>
      </w:r>
      <w:r w:rsidRPr="00213319">
        <w:rPr>
          <w:rFonts w:hint="cs"/>
          <w:b/>
          <w:bCs/>
          <w:rtl/>
        </w:rPr>
        <w:t xml:space="preserve">כבענייננו, </w:t>
      </w:r>
      <w:r w:rsidRPr="00213319">
        <w:rPr>
          <w:b/>
          <w:bCs/>
          <w:rtl/>
        </w:rPr>
        <w:t xml:space="preserve">הפוגעים בזכויות מהותיות של העובדים המוקנות להם על פי חוזה העבודה והמשנים את בסיס ההסכמה בין הצדדים לו, עד שלא ניתן עוד לראות בהם הגמשה של החוזה המקורי, אלא חוזה חדש, </w:t>
      </w:r>
      <w:r w:rsidRPr="00213319">
        <w:rPr>
          <w:rFonts w:hint="cs"/>
          <w:b/>
          <w:bCs/>
          <w:rtl/>
        </w:rPr>
        <w:t xml:space="preserve">אשר עליו </w:t>
      </w:r>
      <w:r w:rsidRPr="00213319">
        <w:rPr>
          <w:b/>
          <w:bCs/>
          <w:rtl/>
        </w:rPr>
        <w:t>פררוגטיבת הניהול אינה משתרעת.</w:t>
      </w:r>
      <w:r w:rsidRPr="00213319">
        <w:rPr>
          <w:rFonts w:hint="cs"/>
          <w:b/>
          <w:bCs/>
          <w:rtl/>
        </w:rPr>
        <w:t xml:space="preserve"> </w:t>
      </w:r>
      <w:r w:rsidRPr="00213319">
        <w:rPr>
          <w:b/>
          <w:bCs/>
          <w:rtl/>
        </w:rPr>
        <w:t>במקרה זה, התמונה שהצטיירה מהעדויות היא של העברת העובדות מחברה לחברה ללא שנתנו את הסכמתן לכך</w:t>
      </w:r>
      <w:r w:rsidRPr="00213319">
        <w:rPr>
          <w:rFonts w:hint="cs"/>
          <w:b/>
          <w:bCs/>
          <w:rtl/>
        </w:rPr>
        <w:t>.</w:t>
      </w:r>
      <w:r w:rsidRPr="00213319">
        <w:rPr>
          <w:b/>
          <w:bCs/>
          <w:rtl/>
        </w:rPr>
        <w:t xml:space="preserve"> לא הובהר להן מהי המשמעות של העברתן ממעביד למעביד בכל הקשור לזכויות העבר </w:t>
      </w:r>
      <w:r w:rsidRPr="00213319">
        <w:rPr>
          <w:rFonts w:hint="cs"/>
          <w:b/>
          <w:bCs/>
          <w:rtl/>
        </w:rPr>
        <w:t xml:space="preserve">והעתיד שלהן. </w:t>
      </w:r>
      <w:r w:rsidRPr="00213319">
        <w:rPr>
          <w:b/>
          <w:bCs/>
          <w:rtl/>
        </w:rPr>
        <w:t>לא נעשה לעובדות גמר חשבון</w:t>
      </w:r>
      <w:r w:rsidRPr="00213319">
        <w:rPr>
          <w:rFonts w:hint="cs"/>
          <w:b/>
          <w:bCs/>
          <w:rtl/>
        </w:rPr>
        <w:t xml:space="preserve">. </w:t>
      </w:r>
      <w:r w:rsidRPr="00213319">
        <w:rPr>
          <w:b/>
          <w:bCs/>
          <w:rtl/>
        </w:rPr>
        <w:t>לא היה אקט של פיטורים מצד החברה</w:t>
      </w:r>
      <w:r w:rsidRPr="00213319">
        <w:rPr>
          <w:rFonts w:hint="cs"/>
          <w:b/>
          <w:bCs/>
          <w:rtl/>
        </w:rPr>
        <w:t xml:space="preserve"> וכיוצב'</w:t>
      </w:r>
      <w:r w:rsidRPr="00213319">
        <w:rPr>
          <w:b/>
          <w:bCs/>
          <w:rtl/>
        </w:rPr>
        <w:t>.</w:t>
      </w:r>
      <w:r w:rsidRPr="00213319">
        <w:rPr>
          <w:rFonts w:hint="cs"/>
          <w:b/>
          <w:bCs/>
          <w:rtl/>
        </w:rPr>
        <w:t xml:space="preserve"> </w:t>
      </w:r>
      <w:r w:rsidRPr="00213319">
        <w:rPr>
          <w:b/>
          <w:bCs/>
          <w:rtl/>
        </w:rPr>
        <w:t>משכך הם פני הדברים, גם לא ניתן לראות בעצם הישארותן של העובדות במקום</w:t>
      </w:r>
      <w:r w:rsidRPr="00213319">
        <w:rPr>
          <w:rFonts w:hint="cs"/>
          <w:b/>
          <w:bCs/>
          <w:rtl/>
        </w:rPr>
        <w:t xml:space="preserve"> העבודה</w:t>
      </w:r>
      <w:r w:rsidRPr="00213319">
        <w:rPr>
          <w:b/>
          <w:bCs/>
          <w:rtl/>
        </w:rPr>
        <w:t xml:space="preserve"> משום הסכמה לעבוד תחת </w:t>
      </w:r>
      <w:r w:rsidRPr="00213319">
        <w:rPr>
          <w:rFonts w:hint="cs"/>
          <w:b/>
          <w:bCs/>
          <w:rtl/>
        </w:rPr>
        <w:t>החברה הרוכשת</w:t>
      </w:r>
      <w:r w:rsidRPr="00213319">
        <w:rPr>
          <w:b/>
          <w:bCs/>
          <w:rtl/>
        </w:rPr>
        <w:t xml:space="preserve">. </w:t>
      </w:r>
      <w:r w:rsidRPr="00213319">
        <w:rPr>
          <w:rFonts w:hint="cs"/>
          <w:b/>
          <w:bCs/>
          <w:rtl/>
        </w:rPr>
        <w:t>בית הדין פסק, כי החברה</w:t>
      </w:r>
      <w:r w:rsidRPr="00213319">
        <w:rPr>
          <w:b/>
          <w:bCs/>
          <w:rtl/>
        </w:rPr>
        <w:t xml:space="preserve"> פעל</w:t>
      </w:r>
      <w:r w:rsidRPr="00213319">
        <w:rPr>
          <w:rFonts w:hint="cs"/>
          <w:b/>
          <w:bCs/>
          <w:rtl/>
        </w:rPr>
        <w:t>ה</w:t>
      </w:r>
      <w:r w:rsidRPr="00213319">
        <w:rPr>
          <w:b/>
          <w:bCs/>
          <w:rtl/>
        </w:rPr>
        <w:t xml:space="preserve"> באופן שהיה בו כדי להונות, לקפח ולפגוע בזכויות העובדים. בנסיבות אלו </w:t>
      </w:r>
      <w:r w:rsidRPr="00213319">
        <w:rPr>
          <w:rFonts w:hint="cs"/>
          <w:b/>
          <w:bCs/>
          <w:rtl/>
        </w:rPr>
        <w:t xml:space="preserve">אף נקבע כי </w:t>
      </w:r>
      <w:r w:rsidRPr="00213319">
        <w:rPr>
          <w:b/>
          <w:bCs/>
          <w:rtl/>
        </w:rPr>
        <w:t xml:space="preserve">יש להרים את המסך ולחייב את </w:t>
      </w:r>
      <w:r w:rsidRPr="00213319">
        <w:rPr>
          <w:rFonts w:hint="cs"/>
          <w:b/>
          <w:bCs/>
          <w:rtl/>
        </w:rPr>
        <w:t>המנהל</w:t>
      </w:r>
      <w:r w:rsidRPr="00213319">
        <w:rPr>
          <w:b/>
          <w:bCs/>
          <w:rtl/>
        </w:rPr>
        <w:t xml:space="preserve"> באופן אישי בחיובי החברה.</w:t>
      </w:r>
      <w:r w:rsidRPr="00213319">
        <w:rPr>
          <w:rFonts w:hint="cs"/>
          <w:b/>
          <w:bCs/>
          <w:rtl/>
        </w:rPr>
        <w:t xml:space="preserve"> </w:t>
      </w:r>
    </w:p>
    <w:p w:rsidR="00213319" w:rsidRDefault="00213319" w:rsidP="00A8553B">
      <w:pPr>
        <w:tabs>
          <w:tab w:val="left" w:pos="90"/>
          <w:tab w:val="left" w:pos="392"/>
        </w:tabs>
        <w:bidi/>
        <w:spacing w:line="360" w:lineRule="auto"/>
        <w:ind w:left="29" w:right="-180"/>
        <w:jc w:val="both"/>
        <w:rPr>
          <w:rFonts w:ascii="David" w:hAnsi="David"/>
          <w:color w:val="000000"/>
          <w:sz w:val="22"/>
          <w:szCs w:val="22"/>
          <w:rtl/>
        </w:rPr>
      </w:pPr>
      <w:r w:rsidRPr="00213319">
        <w:rPr>
          <w:rFonts w:hint="cs"/>
          <w:b/>
          <w:bCs/>
          <w:rtl/>
        </w:rPr>
        <w:t xml:space="preserve">אי לכך, נפסק לנתבעים לשלם </w:t>
      </w:r>
      <w:r w:rsidRPr="00213319">
        <w:rPr>
          <w:b/>
          <w:bCs/>
          <w:rtl/>
        </w:rPr>
        <w:t>פיצויי פיטורים</w:t>
      </w:r>
      <w:r w:rsidRPr="00213319">
        <w:rPr>
          <w:rFonts w:hint="cs"/>
          <w:b/>
          <w:bCs/>
          <w:rtl/>
        </w:rPr>
        <w:t xml:space="preserve"> ע"ס </w:t>
      </w:r>
      <w:r w:rsidRPr="00213319">
        <w:rPr>
          <w:b/>
          <w:bCs/>
          <w:rtl/>
        </w:rPr>
        <w:t xml:space="preserve">89,216 </w:t>
      </w:r>
      <w:r w:rsidRPr="00213319">
        <w:rPr>
          <w:rFonts w:hint="cs"/>
          <w:b/>
          <w:bCs/>
          <w:rtl/>
        </w:rPr>
        <w:t xml:space="preserve">₪, </w:t>
      </w:r>
      <w:r w:rsidRPr="00213319">
        <w:rPr>
          <w:b/>
          <w:bCs/>
          <w:rtl/>
        </w:rPr>
        <w:t>פדיון חופשה שנתית</w:t>
      </w:r>
      <w:r w:rsidRPr="00213319">
        <w:rPr>
          <w:rFonts w:hint="cs"/>
          <w:b/>
          <w:bCs/>
          <w:rtl/>
        </w:rPr>
        <w:t xml:space="preserve"> ע"ס </w:t>
      </w:r>
      <w:r w:rsidRPr="00213319">
        <w:rPr>
          <w:b/>
          <w:bCs/>
          <w:rtl/>
        </w:rPr>
        <w:t xml:space="preserve">8,568 </w:t>
      </w:r>
      <w:r w:rsidRPr="00213319">
        <w:rPr>
          <w:rFonts w:hint="cs"/>
          <w:b/>
          <w:bCs/>
          <w:rtl/>
        </w:rPr>
        <w:t xml:space="preserve">₪, </w:t>
      </w:r>
      <w:r w:rsidRPr="00213319">
        <w:rPr>
          <w:b/>
          <w:bCs/>
          <w:rtl/>
        </w:rPr>
        <w:t>דמי הבראה</w:t>
      </w:r>
      <w:r w:rsidRPr="00213319">
        <w:rPr>
          <w:rFonts w:hint="cs"/>
          <w:b/>
          <w:bCs/>
          <w:rtl/>
        </w:rPr>
        <w:t xml:space="preserve"> ע"ס </w:t>
      </w:r>
      <w:r w:rsidRPr="00213319">
        <w:rPr>
          <w:b/>
          <w:bCs/>
          <w:rtl/>
        </w:rPr>
        <w:t xml:space="preserve">9,680 </w:t>
      </w:r>
      <w:r w:rsidRPr="00213319">
        <w:rPr>
          <w:rFonts w:hint="cs"/>
          <w:b/>
          <w:bCs/>
          <w:rtl/>
        </w:rPr>
        <w:t>₪, ה</w:t>
      </w:r>
      <w:r w:rsidRPr="00213319">
        <w:rPr>
          <w:b/>
          <w:bCs/>
          <w:rtl/>
        </w:rPr>
        <w:t>פרשות לפנסיה</w:t>
      </w:r>
      <w:r w:rsidRPr="00213319">
        <w:rPr>
          <w:rFonts w:hint="cs"/>
          <w:b/>
          <w:bCs/>
          <w:rtl/>
        </w:rPr>
        <w:t xml:space="preserve"> ע"ס </w:t>
      </w:r>
      <w:r w:rsidRPr="00213319">
        <w:rPr>
          <w:b/>
          <w:bCs/>
          <w:rtl/>
        </w:rPr>
        <w:t xml:space="preserve">2,500 </w:t>
      </w:r>
      <w:r w:rsidRPr="00213319">
        <w:rPr>
          <w:rFonts w:hint="cs"/>
          <w:b/>
          <w:bCs/>
          <w:rtl/>
        </w:rPr>
        <w:t>₪ ו</w:t>
      </w:r>
      <w:r w:rsidRPr="00213319">
        <w:rPr>
          <w:b/>
          <w:bCs/>
          <w:rtl/>
        </w:rPr>
        <w:t>הוצאות משפט ושכ"ט עו"ד בסך 15,000 ₪</w:t>
      </w:r>
      <w:r w:rsidRPr="00213319">
        <w:rPr>
          <w:rFonts w:hint="cs"/>
          <w:b/>
          <w:bCs/>
          <w:rtl/>
        </w:rPr>
        <w:t>.</w:t>
      </w:r>
    </w:p>
    <w:p w:rsidR="00213319" w:rsidRPr="0017161B" w:rsidRDefault="00213319" w:rsidP="00A8553B">
      <w:pPr>
        <w:tabs>
          <w:tab w:val="left" w:pos="90"/>
          <w:tab w:val="left" w:pos="392"/>
        </w:tabs>
        <w:bidi/>
        <w:spacing w:line="360" w:lineRule="auto"/>
        <w:ind w:left="29" w:right="-180"/>
        <w:jc w:val="both"/>
        <w:rPr>
          <w:rFonts w:eastAsia="Calibri"/>
          <w:color w:val="FFFFFF"/>
          <w:sz w:val="22"/>
          <w:szCs w:val="22"/>
          <w:rtl/>
        </w:rPr>
      </w:pPr>
      <w:r w:rsidRPr="00E71521">
        <w:rPr>
          <w:rFonts w:ascii="David" w:hAnsi="David"/>
          <w:color w:val="000000"/>
          <w:sz w:val="22"/>
          <w:szCs w:val="22"/>
          <w:rtl/>
        </w:rPr>
        <w:t>ס"ע 680-02-11</w:t>
      </w:r>
      <w:r w:rsidRPr="007D1A23">
        <w:rPr>
          <w:color w:val="FF0000"/>
          <w:sz w:val="22"/>
          <w:szCs w:val="22"/>
        </w:rPr>
        <w:t xml:space="preserve">● </w:t>
      </w:r>
      <w:r w:rsidRPr="007D1A23">
        <w:rPr>
          <w:rFonts w:hint="cs"/>
          <w:color w:val="2B003A"/>
          <w:sz w:val="22"/>
          <w:szCs w:val="22"/>
          <w:rtl/>
        </w:rPr>
        <w:t xml:space="preserve"> </w:t>
      </w:r>
      <w:r w:rsidRPr="00014E5E">
        <w:rPr>
          <w:rFonts w:ascii="David" w:hAnsi="David" w:hint="cs"/>
          <w:b/>
          <w:bCs/>
          <w:color w:val="FF0000"/>
          <w:sz w:val="22"/>
          <w:szCs w:val="22"/>
          <w:rtl/>
        </w:rPr>
        <w:t>גאולה שר</w:t>
      </w:r>
      <w:r w:rsidRPr="00014E5E">
        <w:rPr>
          <w:rFonts w:ascii="David" w:hAnsi="David"/>
          <w:b/>
          <w:bCs/>
          <w:color w:val="FF0000"/>
          <w:sz w:val="22"/>
          <w:szCs w:val="22"/>
          <w:rtl/>
        </w:rPr>
        <w:t xml:space="preserve"> נ' </w:t>
      </w:r>
      <w:r w:rsidRPr="00014E5E">
        <w:rPr>
          <w:rFonts w:ascii="David" w:hAnsi="David" w:hint="cs"/>
          <w:b/>
          <w:bCs/>
          <w:color w:val="FF0000"/>
          <w:sz w:val="22"/>
          <w:szCs w:val="22"/>
          <w:rtl/>
        </w:rPr>
        <w:t xml:space="preserve">קלאסיק נעליים בע"מ ואח' </w:t>
      </w:r>
      <w:r w:rsidRPr="0048743E">
        <w:rPr>
          <w:rFonts w:ascii="David" w:hAnsi="David" w:hint="cs"/>
          <w:color w:val="000000"/>
          <w:sz w:val="22"/>
          <w:szCs w:val="22"/>
          <w:rtl/>
        </w:rPr>
        <w:t>(</w:t>
      </w:r>
      <w:r>
        <w:rPr>
          <w:rFonts w:ascii="David" w:hAnsi="David" w:hint="cs"/>
          <w:color w:val="000000"/>
          <w:sz w:val="22"/>
          <w:szCs w:val="22"/>
          <w:rtl/>
        </w:rPr>
        <w:t>24</w:t>
      </w:r>
      <w:r w:rsidRPr="0048743E">
        <w:rPr>
          <w:rFonts w:ascii="David" w:hAnsi="David" w:hint="cs"/>
          <w:color w:val="000000"/>
          <w:sz w:val="22"/>
          <w:szCs w:val="22"/>
          <w:rtl/>
        </w:rPr>
        <w:t>.4.13</w:t>
      </w:r>
      <w:r w:rsidRPr="007D1A23">
        <w:rPr>
          <w:rFonts w:hint="cs"/>
          <w:color w:val="2B003A"/>
          <w:sz w:val="22"/>
          <w:szCs w:val="22"/>
          <w:rtl/>
        </w:rPr>
        <w:t xml:space="preserve">) </w:t>
      </w:r>
      <w:r w:rsidRPr="007D1A23">
        <w:rPr>
          <w:color w:val="FF0000"/>
          <w:sz w:val="22"/>
          <w:szCs w:val="22"/>
        </w:rPr>
        <w:t>●</w:t>
      </w:r>
      <w:r w:rsidRPr="007D1A23">
        <w:rPr>
          <w:rFonts w:hint="cs"/>
          <w:color w:val="2B003A"/>
          <w:sz w:val="22"/>
          <w:szCs w:val="22"/>
          <w:rtl/>
        </w:rPr>
        <w:t xml:space="preserve"> </w:t>
      </w:r>
      <w:r w:rsidRPr="0048743E">
        <w:rPr>
          <w:rFonts w:ascii="David" w:hAnsi="David" w:hint="cs"/>
          <w:color w:val="000000"/>
          <w:sz w:val="22"/>
          <w:szCs w:val="22"/>
          <w:rtl/>
        </w:rPr>
        <w:t xml:space="preserve">בפני כבוד </w:t>
      </w:r>
      <w:r>
        <w:rPr>
          <w:rFonts w:ascii="David" w:hAnsi="David" w:hint="cs"/>
          <w:color w:val="000000"/>
          <w:sz w:val="22"/>
          <w:szCs w:val="22"/>
          <w:rtl/>
        </w:rPr>
        <w:t>השופט אילן סופר, נ.ע. מר מאיר אליהו, נ.מ. מר מישל אלקסלסי</w:t>
      </w:r>
    </w:p>
    <w:p w:rsidR="000118BE" w:rsidRDefault="000118BE" w:rsidP="00A8553B">
      <w:pPr>
        <w:tabs>
          <w:tab w:val="left" w:pos="44"/>
          <w:tab w:val="left" w:pos="212"/>
        </w:tabs>
        <w:bidi/>
        <w:spacing w:line="360" w:lineRule="auto"/>
        <w:ind w:left="44"/>
        <w:jc w:val="both"/>
        <w:textAlignment w:val="top"/>
        <w:rPr>
          <w:rFonts w:eastAsia="Calibri"/>
          <w:color w:val="2B003A"/>
          <w:sz w:val="14"/>
          <w:szCs w:val="14"/>
          <w:rtl/>
        </w:rPr>
      </w:pPr>
    </w:p>
    <w:p w:rsidR="007A231C" w:rsidRDefault="007A231C" w:rsidP="007A231C">
      <w:pPr>
        <w:tabs>
          <w:tab w:val="left" w:pos="44"/>
          <w:tab w:val="left" w:pos="212"/>
        </w:tabs>
        <w:bidi/>
        <w:spacing w:line="360" w:lineRule="auto"/>
        <w:ind w:left="44"/>
        <w:jc w:val="both"/>
        <w:textAlignment w:val="top"/>
        <w:rPr>
          <w:rFonts w:eastAsia="Calibri"/>
          <w:color w:val="2B003A"/>
          <w:sz w:val="14"/>
          <w:szCs w:val="14"/>
          <w:rtl/>
        </w:rPr>
      </w:pPr>
    </w:p>
    <w:p w:rsidR="007A231C" w:rsidRDefault="007A231C" w:rsidP="007A231C">
      <w:pPr>
        <w:tabs>
          <w:tab w:val="left" w:pos="44"/>
          <w:tab w:val="left" w:pos="212"/>
        </w:tabs>
        <w:bidi/>
        <w:spacing w:line="360" w:lineRule="auto"/>
        <w:ind w:left="44"/>
        <w:jc w:val="both"/>
        <w:textAlignment w:val="top"/>
        <w:rPr>
          <w:rFonts w:eastAsia="Calibri"/>
          <w:color w:val="2B003A"/>
          <w:sz w:val="14"/>
          <w:szCs w:val="14"/>
          <w:rtl/>
        </w:rPr>
      </w:pPr>
    </w:p>
    <w:p w:rsidR="007A231C" w:rsidRDefault="007A231C" w:rsidP="007A231C">
      <w:pPr>
        <w:tabs>
          <w:tab w:val="left" w:pos="44"/>
          <w:tab w:val="left" w:pos="212"/>
        </w:tabs>
        <w:bidi/>
        <w:spacing w:line="360" w:lineRule="auto"/>
        <w:ind w:left="44"/>
        <w:jc w:val="both"/>
        <w:textAlignment w:val="top"/>
        <w:rPr>
          <w:rFonts w:eastAsia="Calibri"/>
          <w:color w:val="2B003A"/>
          <w:sz w:val="14"/>
          <w:szCs w:val="14"/>
          <w:rtl/>
        </w:rPr>
      </w:pPr>
    </w:p>
    <w:p w:rsidR="007A231C" w:rsidRDefault="007A231C" w:rsidP="007A231C">
      <w:pPr>
        <w:tabs>
          <w:tab w:val="left" w:pos="44"/>
          <w:tab w:val="left" w:pos="212"/>
        </w:tabs>
        <w:bidi/>
        <w:spacing w:line="360" w:lineRule="auto"/>
        <w:ind w:left="44"/>
        <w:jc w:val="both"/>
        <w:textAlignment w:val="top"/>
        <w:rPr>
          <w:rFonts w:eastAsia="Calibri"/>
          <w:color w:val="2B003A"/>
          <w:sz w:val="14"/>
          <w:szCs w:val="14"/>
          <w:rtl/>
        </w:rPr>
      </w:pPr>
    </w:p>
    <w:p w:rsidR="007A231C" w:rsidRDefault="007A231C" w:rsidP="007A231C">
      <w:pPr>
        <w:tabs>
          <w:tab w:val="left" w:pos="44"/>
          <w:tab w:val="left" w:pos="212"/>
        </w:tabs>
        <w:bidi/>
        <w:spacing w:line="360" w:lineRule="auto"/>
        <w:ind w:left="44"/>
        <w:jc w:val="both"/>
        <w:textAlignment w:val="top"/>
        <w:rPr>
          <w:rFonts w:eastAsia="Calibri"/>
          <w:color w:val="2B003A"/>
          <w:sz w:val="14"/>
          <w:szCs w:val="14"/>
          <w:rtl/>
        </w:rPr>
      </w:pPr>
    </w:p>
    <w:p w:rsidR="007A231C" w:rsidRDefault="007A231C" w:rsidP="007A231C">
      <w:pPr>
        <w:tabs>
          <w:tab w:val="left" w:pos="44"/>
          <w:tab w:val="left" w:pos="212"/>
        </w:tabs>
        <w:bidi/>
        <w:spacing w:line="360" w:lineRule="auto"/>
        <w:ind w:left="44"/>
        <w:jc w:val="both"/>
        <w:textAlignment w:val="top"/>
        <w:rPr>
          <w:rFonts w:eastAsia="Calibri"/>
          <w:color w:val="2B003A"/>
          <w:sz w:val="14"/>
          <w:szCs w:val="14"/>
          <w:rtl/>
        </w:rPr>
      </w:pPr>
    </w:p>
    <w:p w:rsidR="007A231C" w:rsidRDefault="007A231C" w:rsidP="007A231C">
      <w:pPr>
        <w:tabs>
          <w:tab w:val="left" w:pos="44"/>
          <w:tab w:val="left" w:pos="212"/>
        </w:tabs>
        <w:bidi/>
        <w:spacing w:line="360" w:lineRule="auto"/>
        <w:ind w:left="44"/>
        <w:jc w:val="both"/>
        <w:textAlignment w:val="top"/>
        <w:rPr>
          <w:rFonts w:eastAsia="Calibri"/>
          <w:color w:val="2B003A"/>
          <w:sz w:val="14"/>
          <w:szCs w:val="14"/>
          <w:rtl/>
        </w:rPr>
      </w:pPr>
    </w:p>
    <w:p w:rsidR="007A231C" w:rsidRDefault="007A231C" w:rsidP="007A231C">
      <w:pPr>
        <w:tabs>
          <w:tab w:val="left" w:pos="44"/>
          <w:tab w:val="left" w:pos="212"/>
        </w:tabs>
        <w:bidi/>
        <w:spacing w:line="360" w:lineRule="auto"/>
        <w:ind w:left="44"/>
        <w:jc w:val="both"/>
        <w:textAlignment w:val="top"/>
        <w:rPr>
          <w:rFonts w:eastAsia="Calibri"/>
          <w:color w:val="2B003A"/>
          <w:sz w:val="14"/>
          <w:szCs w:val="14"/>
          <w:rtl/>
        </w:rPr>
      </w:pPr>
    </w:p>
    <w:p w:rsidR="007A231C" w:rsidRDefault="007A231C" w:rsidP="007A231C">
      <w:pPr>
        <w:tabs>
          <w:tab w:val="left" w:pos="44"/>
          <w:tab w:val="left" w:pos="212"/>
        </w:tabs>
        <w:bidi/>
        <w:spacing w:line="360" w:lineRule="auto"/>
        <w:ind w:left="44"/>
        <w:jc w:val="both"/>
        <w:textAlignment w:val="top"/>
        <w:rPr>
          <w:rFonts w:eastAsia="Calibri"/>
          <w:color w:val="2B003A"/>
          <w:sz w:val="14"/>
          <w:szCs w:val="14"/>
          <w:rtl/>
        </w:rPr>
      </w:pPr>
    </w:p>
    <w:p w:rsidR="007A231C" w:rsidRDefault="007A231C" w:rsidP="007A231C">
      <w:pPr>
        <w:tabs>
          <w:tab w:val="left" w:pos="44"/>
          <w:tab w:val="left" w:pos="212"/>
        </w:tabs>
        <w:bidi/>
        <w:spacing w:line="360" w:lineRule="auto"/>
        <w:ind w:left="44"/>
        <w:jc w:val="both"/>
        <w:textAlignment w:val="top"/>
        <w:rPr>
          <w:rFonts w:eastAsia="Calibri"/>
          <w:color w:val="2B003A"/>
          <w:sz w:val="14"/>
          <w:szCs w:val="14"/>
          <w:rtl/>
        </w:rPr>
      </w:pPr>
    </w:p>
    <w:p w:rsidR="007A231C" w:rsidRDefault="007A231C" w:rsidP="007A231C">
      <w:pPr>
        <w:tabs>
          <w:tab w:val="left" w:pos="44"/>
          <w:tab w:val="left" w:pos="212"/>
        </w:tabs>
        <w:bidi/>
        <w:spacing w:line="360" w:lineRule="auto"/>
        <w:ind w:left="44"/>
        <w:jc w:val="both"/>
        <w:textAlignment w:val="top"/>
        <w:rPr>
          <w:rFonts w:eastAsia="Calibri"/>
          <w:color w:val="2B003A"/>
          <w:sz w:val="14"/>
          <w:szCs w:val="14"/>
          <w:rtl/>
        </w:rPr>
      </w:pPr>
    </w:p>
    <w:p w:rsidR="00B45B66" w:rsidRDefault="00B45B66" w:rsidP="00B45B66">
      <w:pPr>
        <w:tabs>
          <w:tab w:val="left" w:pos="44"/>
          <w:tab w:val="left" w:pos="212"/>
        </w:tabs>
        <w:bidi/>
        <w:spacing w:line="360" w:lineRule="auto"/>
        <w:ind w:left="44"/>
        <w:jc w:val="both"/>
        <w:textAlignment w:val="top"/>
        <w:rPr>
          <w:rFonts w:eastAsia="Calibri"/>
          <w:color w:val="2B003A"/>
          <w:sz w:val="14"/>
          <w:szCs w:val="14"/>
          <w:rtl/>
        </w:rPr>
      </w:pPr>
    </w:p>
    <w:p w:rsidR="007A231C" w:rsidRDefault="007A231C" w:rsidP="007A231C">
      <w:pPr>
        <w:tabs>
          <w:tab w:val="left" w:pos="44"/>
          <w:tab w:val="left" w:pos="212"/>
        </w:tabs>
        <w:bidi/>
        <w:spacing w:line="360" w:lineRule="auto"/>
        <w:ind w:left="44"/>
        <w:jc w:val="both"/>
        <w:textAlignment w:val="top"/>
        <w:rPr>
          <w:rFonts w:eastAsia="Calibri"/>
          <w:color w:val="2B003A"/>
          <w:sz w:val="14"/>
          <w:szCs w:val="14"/>
          <w:rtl/>
        </w:rPr>
      </w:pPr>
    </w:p>
    <w:p w:rsidR="008963E6" w:rsidRPr="00BD3500" w:rsidRDefault="000118BE" w:rsidP="00A8553B">
      <w:pPr>
        <w:pStyle w:val="29"/>
        <w:spacing w:line="360" w:lineRule="auto"/>
        <w:rPr>
          <w:color w:val="0000FF"/>
        </w:rPr>
      </w:pPr>
      <w:bookmarkStart w:id="26" w:name="_Toc228152672"/>
      <w:bookmarkStart w:id="27" w:name="_Toc383530617"/>
      <w:bookmarkStart w:id="28" w:name="_Toc383587155"/>
      <w:bookmarkStart w:id="29" w:name="_Toc383587360"/>
      <w:bookmarkStart w:id="30" w:name="_Toc383587802"/>
      <w:r w:rsidRPr="00BD3500">
        <w:rPr>
          <w:rFonts w:hint="cs"/>
          <w:color w:val="0000FF"/>
          <w:rtl/>
        </w:rPr>
        <w:lastRenderedPageBreak/>
        <w:t>סיום יחסי עבודה</w:t>
      </w:r>
      <w:bookmarkEnd w:id="26"/>
      <w:bookmarkEnd w:id="27"/>
      <w:bookmarkEnd w:id="28"/>
      <w:bookmarkEnd w:id="29"/>
      <w:bookmarkEnd w:id="30"/>
    </w:p>
    <w:p w:rsidR="000118BE" w:rsidRDefault="000118BE" w:rsidP="00A8553B">
      <w:pPr>
        <w:numPr>
          <w:ilvl w:val="0"/>
          <w:numId w:val="5"/>
        </w:numPr>
        <w:bidi/>
        <w:spacing w:line="360" w:lineRule="auto"/>
        <w:jc w:val="both"/>
        <w:outlineLvl w:val="2"/>
        <w:rPr>
          <w:rFonts w:ascii="David" w:hAnsi="David"/>
          <w:b/>
          <w:bCs/>
          <w:color w:val="FF0000"/>
          <w:sz w:val="32"/>
          <w:szCs w:val="26"/>
          <w:u w:val="single"/>
        </w:rPr>
      </w:pPr>
      <w:bookmarkStart w:id="31" w:name="_Toc383530618"/>
      <w:bookmarkStart w:id="32" w:name="_Toc383587156"/>
      <w:bookmarkStart w:id="33" w:name="_Toc383587361"/>
      <w:bookmarkStart w:id="34" w:name="_Toc383587803"/>
      <w:bookmarkStart w:id="35" w:name="_Toc228152674"/>
      <w:r>
        <w:rPr>
          <w:rFonts w:ascii="David" w:hAnsi="David" w:hint="cs"/>
          <w:b/>
          <w:bCs/>
          <w:color w:val="FF0000"/>
          <w:sz w:val="32"/>
          <w:szCs w:val="26"/>
          <w:u w:val="single"/>
          <w:rtl/>
        </w:rPr>
        <w:t>פיטורים, התפטרות והתפטרות בדין פיטורים</w:t>
      </w:r>
      <w:bookmarkEnd w:id="31"/>
      <w:bookmarkEnd w:id="32"/>
      <w:bookmarkEnd w:id="33"/>
      <w:bookmarkEnd w:id="34"/>
      <w:r>
        <w:rPr>
          <w:rFonts w:ascii="David" w:hAnsi="David" w:hint="cs"/>
          <w:b/>
          <w:bCs/>
          <w:color w:val="FF0000"/>
          <w:sz w:val="32"/>
          <w:szCs w:val="26"/>
          <w:u w:val="single"/>
          <w:rtl/>
        </w:rPr>
        <w:t xml:space="preserve"> </w:t>
      </w:r>
    </w:p>
    <w:p w:rsidR="000118BE" w:rsidRPr="00BD3500" w:rsidRDefault="000118BE" w:rsidP="007A231C">
      <w:pPr>
        <w:bidi/>
        <w:jc w:val="both"/>
        <w:outlineLvl w:val="2"/>
        <w:rPr>
          <w:rFonts w:ascii="David" w:hAnsi="David"/>
          <w:b/>
          <w:bCs/>
          <w:color w:val="0000FF"/>
          <w:sz w:val="32"/>
          <w:szCs w:val="26"/>
          <w:u w:val="single"/>
        </w:rPr>
      </w:pPr>
    </w:p>
    <w:p w:rsidR="000118BE" w:rsidRPr="008B27E4" w:rsidRDefault="000118BE" w:rsidP="00A8553B">
      <w:pPr>
        <w:numPr>
          <w:ilvl w:val="0"/>
          <w:numId w:val="13"/>
        </w:numPr>
        <w:tabs>
          <w:tab w:val="clear" w:pos="258"/>
          <w:tab w:val="left" w:pos="70"/>
          <w:tab w:val="num" w:pos="584"/>
        </w:tabs>
        <w:bidi/>
        <w:spacing w:line="360" w:lineRule="auto"/>
        <w:ind w:hanging="34"/>
        <w:jc w:val="both"/>
        <w:rPr>
          <w:rFonts w:ascii="Arial" w:hAnsi="Arial"/>
          <w:b/>
          <w:bCs/>
          <w:color w:val="008000"/>
          <w:sz w:val="24"/>
          <w:u w:val="single"/>
          <w:rtl/>
        </w:rPr>
      </w:pPr>
      <w:bookmarkStart w:id="36" w:name="OLE_LINK70"/>
      <w:bookmarkStart w:id="37" w:name="OLE_LINK71"/>
      <w:r w:rsidRPr="00BD3500">
        <w:rPr>
          <w:rFonts w:ascii="Arial" w:hAnsi="Arial"/>
          <w:b/>
          <w:bCs/>
          <w:color w:val="0000FF"/>
          <w:sz w:val="24"/>
          <w:u w:val="single"/>
          <w:rtl/>
        </w:rPr>
        <w:t>נדחתה תביעת עובדת מדינה שלא הוכיחה שפוטרה בגלל חשיפת אי סדרים</w:t>
      </w:r>
    </w:p>
    <w:p w:rsidR="000118BE" w:rsidRDefault="000118BE" w:rsidP="007A231C">
      <w:pPr>
        <w:tabs>
          <w:tab w:val="left" w:pos="70"/>
        </w:tabs>
        <w:ind w:left="-102"/>
        <w:jc w:val="both"/>
        <w:rPr>
          <w:b/>
          <w:bCs/>
          <w:sz w:val="28"/>
          <w:szCs w:val="28"/>
          <w:rtl/>
        </w:rPr>
      </w:pPr>
    </w:p>
    <w:p w:rsidR="000118BE" w:rsidRPr="00A41849" w:rsidRDefault="000118BE" w:rsidP="007A231C">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b/>
          <w:bCs/>
          <w:noProof w:val="0"/>
          <w:szCs w:val="24"/>
          <w:rtl/>
          <w:lang w:eastAsia="en-US"/>
        </w:rPr>
      </w:pPr>
      <w:r w:rsidRPr="00A41849">
        <w:rPr>
          <w:rFonts w:cs="David" w:hint="cs"/>
          <w:b/>
          <w:bCs/>
          <w:noProof w:val="0"/>
          <w:szCs w:val="24"/>
          <w:rtl/>
          <w:lang w:eastAsia="en-US"/>
        </w:rPr>
        <w:t>עובדת בלשכת שר הפנים שפוטרה, הגישה תביעה לפיצויים לפי חוק הגנה על עובדים (חשיפת עבירות ופגיעה בטוהר המידות או במינהל התקין) ופיצויים בגין העדר שימוע. לטענתה, פוטרה לאחר שחשפה אי סדרים בהתנהלות שר הפנים ומנהל לשכתו בכל הנוגע למתן הארכת אשרות שהייה לעובדים זרים בענף הסיעוד. לטענת המעסיקה, החלטת הפיטורים התקבלה על רקע תפקודה הלקוי של העובדת וחוסר שביעות רצון הממונים עליה מעבודתה.</w:t>
      </w:r>
    </w:p>
    <w:p w:rsidR="000118BE" w:rsidRPr="00A41849"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b/>
          <w:bCs/>
          <w:noProof w:val="0"/>
          <w:szCs w:val="24"/>
          <w:rtl/>
          <w:lang w:eastAsia="en-US"/>
        </w:rPr>
      </w:pPr>
      <w:r w:rsidRPr="00A41849">
        <w:rPr>
          <w:rFonts w:cs="David" w:hint="cs"/>
          <w:b/>
          <w:bCs/>
          <w:noProof w:val="0"/>
          <w:szCs w:val="24"/>
          <w:rtl/>
          <w:lang w:eastAsia="en-US"/>
        </w:rPr>
        <w:t>על מנת שעובד יזכה בהגנה מכוח חוק הגנה על עובדים, עליו להוכיח כי לתלונה שהגיש הייתה השפעה ניכרת או ממשית על הפגיעה בתנאי עבודתו. משהוכיח העובד ברמה לכאורית כי תפקודו בעבודה לא הצדיק את פיטוריו, מועבר נטל הראיה למעביד להוכיח כי הפגיעה בעבודתו של העובד או בתנאי עבודתו אינם קשורים בתלונה שהגיש נגד מעבידו.</w:t>
      </w:r>
    </w:p>
    <w:p w:rsidR="000118BE" w:rsidRPr="00A41849"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b/>
          <w:bCs/>
          <w:noProof w:val="0"/>
          <w:szCs w:val="24"/>
          <w:rtl/>
          <w:lang w:eastAsia="en-US"/>
        </w:rPr>
      </w:pPr>
      <w:r w:rsidRPr="00A41849">
        <w:rPr>
          <w:rFonts w:cs="David" w:hint="cs"/>
          <w:b/>
          <w:bCs/>
          <w:noProof w:val="0"/>
          <w:szCs w:val="24"/>
          <w:rtl/>
          <w:lang w:eastAsia="en-US"/>
        </w:rPr>
        <w:t>בית הדין האזורי דחה את תביעת העובדת לסעדים מכוח חוק הגנה על עובדים לאחר שהעובדת לא הוכיחה קיומו של קשר סיבתי בין הגשת תלונתה לבין פיטוריה ואף לא הוכיחה כי תלונתה הוגשה בתום לב. נפסק כי מהתשתית העובדתית עולה שהתובעת פוטרה כדין על רקע תפקודה הלקוי ולא על רקע "חשיפת שחיתויות" או "אי סדרים". כמו כן, חרף הפגמים הפרוצדוראליים בשימוע, לעובדת ניתנה הזדמנות מהותית להשמיע טענותיה ולכן נדחתה תביעתה לפיצויים בגין פיטורים שלא כדין וללא שימוע.</w:t>
      </w:r>
    </w:p>
    <w:p w:rsidR="000118BE" w:rsidRPr="00A41849" w:rsidRDefault="000118BE" w:rsidP="00A8553B">
      <w:pPr>
        <w:tabs>
          <w:tab w:val="left" w:pos="90"/>
        </w:tabs>
        <w:bidi/>
        <w:spacing w:line="360" w:lineRule="auto"/>
        <w:ind w:left="44"/>
        <w:jc w:val="both"/>
        <w:rPr>
          <w:color w:val="FFFFFF"/>
          <w:sz w:val="22"/>
          <w:szCs w:val="22"/>
          <w:rtl/>
        </w:rPr>
      </w:pPr>
      <w:r w:rsidRPr="00A41849">
        <w:rPr>
          <w:rFonts w:hint="cs"/>
          <w:sz w:val="22"/>
          <w:szCs w:val="22"/>
          <w:rtl/>
        </w:rPr>
        <w:t xml:space="preserve">סע (י-ם) 23311-09-10 </w:t>
      </w:r>
      <w:r w:rsidRPr="00A41849">
        <w:rPr>
          <w:color w:val="FF0000"/>
          <w:sz w:val="22"/>
          <w:szCs w:val="22"/>
        </w:rPr>
        <w:t>●</w:t>
      </w:r>
      <w:r w:rsidRPr="00A41849">
        <w:rPr>
          <w:rFonts w:hint="cs"/>
          <w:b/>
          <w:bCs/>
          <w:color w:val="FF0000"/>
          <w:sz w:val="22"/>
          <w:szCs w:val="22"/>
          <w:rtl/>
        </w:rPr>
        <w:t xml:space="preserve"> </w:t>
      </w:r>
      <w:r w:rsidRPr="00014E5E">
        <w:rPr>
          <w:rFonts w:hint="cs"/>
          <w:b/>
          <w:bCs/>
          <w:color w:val="FF0000"/>
          <w:sz w:val="22"/>
          <w:szCs w:val="22"/>
          <w:rtl/>
        </w:rPr>
        <w:t xml:space="preserve">שרונה שאלתיאל נ' מדינת ישראל </w:t>
      </w:r>
      <w:r w:rsidRPr="00A41849">
        <w:rPr>
          <w:rFonts w:hint="cs"/>
          <w:sz w:val="22"/>
          <w:szCs w:val="22"/>
          <w:rtl/>
        </w:rPr>
        <w:t xml:space="preserve">(9.1.14) </w:t>
      </w:r>
      <w:r w:rsidRPr="00A41849">
        <w:rPr>
          <w:sz w:val="22"/>
          <w:szCs w:val="22"/>
        </w:rPr>
        <w:t xml:space="preserve"> </w:t>
      </w:r>
      <w:r w:rsidRPr="00A41849">
        <w:rPr>
          <w:color w:val="FF0000"/>
          <w:sz w:val="22"/>
          <w:szCs w:val="22"/>
        </w:rPr>
        <w:t>●</w:t>
      </w:r>
      <w:r w:rsidRPr="00A41849">
        <w:rPr>
          <w:rFonts w:hint="cs"/>
          <w:sz w:val="22"/>
          <w:szCs w:val="22"/>
          <w:rtl/>
        </w:rPr>
        <w:t>בפני כבוד השופט דניאל גולדברג, נ.מ. מר אברהם מנצורי</w:t>
      </w:r>
    </w:p>
    <w:p w:rsidR="000118BE" w:rsidRDefault="000118BE" w:rsidP="00A8553B">
      <w:pPr>
        <w:tabs>
          <w:tab w:val="left" w:pos="90"/>
        </w:tabs>
        <w:bidi/>
        <w:spacing w:line="360" w:lineRule="auto"/>
        <w:ind w:left="44"/>
        <w:jc w:val="both"/>
        <w:rPr>
          <w:sz w:val="18"/>
          <w:szCs w:val="18"/>
          <w:rtl/>
          <w:lang w:eastAsia="he-IL"/>
        </w:rPr>
      </w:pPr>
    </w:p>
    <w:p w:rsidR="000118BE" w:rsidRPr="00BD3500" w:rsidRDefault="000118BE" w:rsidP="00A8553B">
      <w:pPr>
        <w:numPr>
          <w:ilvl w:val="0"/>
          <w:numId w:val="13"/>
        </w:numPr>
        <w:tabs>
          <w:tab w:val="clear" w:pos="258"/>
          <w:tab w:val="left" w:pos="70"/>
          <w:tab w:val="num" w:pos="584"/>
        </w:tabs>
        <w:bidi/>
        <w:spacing w:line="360" w:lineRule="auto"/>
        <w:ind w:hanging="34"/>
        <w:jc w:val="both"/>
        <w:rPr>
          <w:rFonts w:ascii="Arial" w:hAnsi="Arial"/>
          <w:b/>
          <w:bCs/>
          <w:color w:val="0000FF"/>
          <w:sz w:val="24"/>
          <w:u w:val="single"/>
          <w:rtl/>
        </w:rPr>
      </w:pPr>
      <w:r w:rsidRPr="00BD3500">
        <w:rPr>
          <w:rFonts w:ascii="Arial" w:hAnsi="Arial" w:hint="cs"/>
          <w:b/>
          <w:bCs/>
          <w:color w:val="0000FF"/>
          <w:sz w:val="24"/>
          <w:u w:val="single"/>
          <w:rtl/>
        </w:rPr>
        <w:t>מאבטח שלא שובץ לעבודה בעקבות הפסד במכרז נחשב למפוטר</w:t>
      </w:r>
    </w:p>
    <w:p w:rsidR="000118BE" w:rsidRPr="00B36B47" w:rsidRDefault="000118BE" w:rsidP="007A231C">
      <w:pPr>
        <w:tabs>
          <w:tab w:val="left" w:pos="62"/>
          <w:tab w:val="left" w:pos="90"/>
        </w:tabs>
        <w:bidi/>
        <w:ind w:left="44" w:right="-180" w:hanging="397"/>
        <w:jc w:val="both"/>
        <w:rPr>
          <w:rFonts w:eastAsia="Calibri"/>
          <w:sz w:val="24"/>
          <w:rtl/>
        </w:rPr>
      </w:pPr>
    </w:p>
    <w:p w:rsidR="000118BE" w:rsidRPr="00886A78"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b/>
          <w:bCs/>
          <w:noProof w:val="0"/>
          <w:szCs w:val="24"/>
          <w:rtl/>
          <w:lang w:eastAsia="en-US"/>
        </w:rPr>
      </w:pPr>
      <w:bookmarkStart w:id="38" w:name="PsakDin"/>
      <w:r w:rsidRPr="00886A78">
        <w:rPr>
          <w:rFonts w:cs="David"/>
          <w:b/>
          <w:bCs/>
          <w:noProof w:val="0"/>
          <w:szCs w:val="24"/>
          <w:rtl/>
          <w:lang w:eastAsia="en-US"/>
        </w:rPr>
        <w:t>התובע</w:t>
      </w:r>
      <w:r w:rsidRPr="00886A78">
        <w:rPr>
          <w:rFonts w:cs="David" w:hint="cs"/>
          <w:b/>
          <w:bCs/>
          <w:noProof w:val="0"/>
          <w:szCs w:val="24"/>
          <w:rtl/>
          <w:lang w:eastAsia="en-US"/>
        </w:rPr>
        <w:t xml:space="preserve"> </w:t>
      </w:r>
      <w:r w:rsidRPr="00886A78">
        <w:rPr>
          <w:rFonts w:cs="David"/>
          <w:b/>
          <w:bCs/>
          <w:noProof w:val="0"/>
          <w:szCs w:val="24"/>
          <w:rtl/>
          <w:lang w:eastAsia="en-US"/>
        </w:rPr>
        <w:t>הועסק ב</w:t>
      </w:r>
      <w:r w:rsidRPr="00886A78">
        <w:rPr>
          <w:rFonts w:cs="David" w:hint="cs"/>
          <w:b/>
          <w:bCs/>
          <w:noProof w:val="0"/>
          <w:szCs w:val="24"/>
          <w:rtl/>
          <w:lang w:eastAsia="en-US"/>
        </w:rPr>
        <w:t>חברת "רשת בטחון"</w:t>
      </w:r>
      <w:r w:rsidRPr="00886A78">
        <w:rPr>
          <w:rFonts w:cs="David"/>
          <w:b/>
          <w:bCs/>
          <w:noProof w:val="0"/>
          <w:szCs w:val="24"/>
          <w:rtl/>
          <w:lang w:eastAsia="en-US"/>
        </w:rPr>
        <w:t xml:space="preserve"> באבטחת ישיב</w:t>
      </w:r>
      <w:r w:rsidRPr="00886A78">
        <w:rPr>
          <w:rFonts w:cs="David" w:hint="cs"/>
          <w:b/>
          <w:bCs/>
          <w:noProof w:val="0"/>
          <w:szCs w:val="24"/>
          <w:rtl/>
          <w:lang w:eastAsia="en-US"/>
        </w:rPr>
        <w:t xml:space="preserve">ה </w:t>
      </w:r>
      <w:r w:rsidRPr="00886A78">
        <w:rPr>
          <w:rFonts w:cs="David"/>
          <w:b/>
          <w:bCs/>
          <w:noProof w:val="0"/>
          <w:szCs w:val="24"/>
          <w:rtl/>
          <w:lang w:eastAsia="en-US"/>
        </w:rPr>
        <w:t>כעובד שעתי</w:t>
      </w:r>
      <w:r w:rsidRPr="00886A78">
        <w:rPr>
          <w:rFonts w:cs="David" w:hint="cs"/>
          <w:b/>
          <w:bCs/>
          <w:noProof w:val="0"/>
          <w:szCs w:val="24"/>
          <w:rtl/>
          <w:lang w:eastAsia="en-US"/>
        </w:rPr>
        <w:t xml:space="preserve"> </w:t>
      </w:r>
      <w:bookmarkStart w:id="39" w:name="ABSTRACT_START"/>
      <w:bookmarkEnd w:id="39"/>
      <w:r w:rsidRPr="00886A78">
        <w:rPr>
          <w:rFonts w:cs="David" w:hint="cs"/>
          <w:b/>
          <w:bCs/>
          <w:noProof w:val="0"/>
          <w:szCs w:val="24"/>
          <w:rtl/>
          <w:lang w:eastAsia="en-US"/>
        </w:rPr>
        <w:t>ו</w:t>
      </w:r>
      <w:r w:rsidRPr="00886A78">
        <w:rPr>
          <w:rFonts w:cs="David"/>
          <w:b/>
          <w:bCs/>
          <w:noProof w:val="0"/>
          <w:szCs w:val="24"/>
          <w:rtl/>
          <w:lang w:eastAsia="en-US"/>
        </w:rPr>
        <w:t xml:space="preserve">סיים עבודתו </w:t>
      </w:r>
      <w:r w:rsidRPr="00886A78">
        <w:rPr>
          <w:rFonts w:cs="David" w:hint="cs"/>
          <w:b/>
          <w:bCs/>
          <w:noProof w:val="0"/>
          <w:szCs w:val="24"/>
          <w:rtl/>
          <w:lang w:eastAsia="en-US"/>
        </w:rPr>
        <w:t xml:space="preserve">באתר זה </w:t>
      </w:r>
      <w:r w:rsidRPr="00886A78">
        <w:rPr>
          <w:rFonts w:cs="David"/>
          <w:b/>
          <w:bCs/>
          <w:noProof w:val="0"/>
          <w:szCs w:val="24"/>
          <w:rtl/>
          <w:lang w:eastAsia="en-US"/>
        </w:rPr>
        <w:t>בנסיבות של הפסד מכרז ולאחר ש</w:t>
      </w:r>
      <w:r w:rsidRPr="00886A78">
        <w:rPr>
          <w:rFonts w:cs="David" w:hint="cs"/>
          <w:b/>
          <w:bCs/>
          <w:noProof w:val="0"/>
          <w:szCs w:val="24"/>
          <w:rtl/>
          <w:lang w:eastAsia="en-US"/>
        </w:rPr>
        <w:t>"רשת בטחון"</w:t>
      </w:r>
      <w:r w:rsidRPr="00886A78">
        <w:rPr>
          <w:rFonts w:cs="David"/>
          <w:b/>
          <w:bCs/>
          <w:noProof w:val="0"/>
          <w:szCs w:val="24"/>
          <w:rtl/>
          <w:lang w:eastAsia="en-US"/>
        </w:rPr>
        <w:t xml:space="preserve"> לא שיבצה אותו באתר חלופי.</w:t>
      </w:r>
    </w:p>
    <w:p w:rsidR="000118BE" w:rsidRPr="00886A78" w:rsidRDefault="000118BE" w:rsidP="00392799">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b/>
          <w:bCs/>
          <w:noProof w:val="0"/>
          <w:szCs w:val="24"/>
          <w:rtl/>
          <w:lang w:eastAsia="en-US"/>
        </w:rPr>
      </w:pPr>
      <w:r w:rsidRPr="00886A78">
        <w:rPr>
          <w:rFonts w:cs="David" w:hint="cs"/>
          <w:b/>
          <w:bCs/>
          <w:noProof w:val="0"/>
          <w:szCs w:val="24"/>
          <w:rtl/>
          <w:lang w:eastAsia="en-US"/>
        </w:rPr>
        <w:tab/>
      </w:r>
      <w:r w:rsidRPr="00886A78">
        <w:rPr>
          <w:rFonts w:cs="David"/>
          <w:b/>
          <w:bCs/>
          <w:noProof w:val="0"/>
          <w:szCs w:val="24"/>
          <w:rtl/>
          <w:lang w:eastAsia="en-US"/>
        </w:rPr>
        <w:t xml:space="preserve">בית הדין האזורי קיבל את התביעה בחלקה </w:t>
      </w:r>
      <w:r w:rsidRPr="00886A78">
        <w:rPr>
          <w:rFonts w:cs="David" w:hint="cs"/>
          <w:b/>
          <w:bCs/>
          <w:noProof w:val="0"/>
          <w:szCs w:val="24"/>
          <w:rtl/>
          <w:lang w:eastAsia="en-US"/>
        </w:rPr>
        <w:t xml:space="preserve">וקבע </w:t>
      </w:r>
      <w:r w:rsidRPr="00886A78">
        <w:rPr>
          <w:rFonts w:cs="David"/>
          <w:b/>
          <w:bCs/>
          <w:noProof w:val="0"/>
          <w:szCs w:val="24"/>
          <w:rtl/>
          <w:lang w:eastAsia="en-US"/>
        </w:rPr>
        <w:t>כי השארת העובד כאשר מקור פרנסתו בסכנה יש לראות בה כפיטורים</w:t>
      </w:r>
      <w:r w:rsidRPr="00886A78">
        <w:rPr>
          <w:rFonts w:cs="David" w:hint="cs"/>
          <w:b/>
          <w:bCs/>
          <w:noProof w:val="0"/>
          <w:szCs w:val="24"/>
          <w:rtl/>
          <w:lang w:eastAsia="en-US"/>
        </w:rPr>
        <w:t>;</w:t>
      </w:r>
      <w:r w:rsidRPr="00886A78">
        <w:rPr>
          <w:rFonts w:cs="David"/>
          <w:b/>
          <w:bCs/>
          <w:noProof w:val="0"/>
          <w:szCs w:val="24"/>
          <w:rtl/>
          <w:lang w:eastAsia="en-US"/>
        </w:rPr>
        <w:t xml:space="preserve"> התובע פוטר מעבודתו</w:t>
      </w:r>
      <w:r w:rsidRPr="00886A78">
        <w:rPr>
          <w:rFonts w:cs="David" w:hint="cs"/>
          <w:b/>
          <w:bCs/>
          <w:noProof w:val="0"/>
          <w:szCs w:val="24"/>
          <w:rtl/>
          <w:lang w:eastAsia="en-US"/>
        </w:rPr>
        <w:t xml:space="preserve">, לאחר שלא קיבל הודעה קונקרטית על שיבוץ ונותר ללא עבודה. </w:t>
      </w:r>
      <w:r w:rsidRPr="00886A78">
        <w:rPr>
          <w:rFonts w:cs="David"/>
          <w:b/>
          <w:bCs/>
          <w:noProof w:val="0"/>
          <w:szCs w:val="24"/>
          <w:rtl/>
          <w:lang w:eastAsia="en-US"/>
        </w:rPr>
        <w:t>דומה הדבר להוצאת עובד לחופשה ללא תשלום, לפרק זמן בלתי מוגדר אשר כבר הוכרע בפסיקה כי מדובר בפיטורים. התובע לא קיבל הודעה מוקדמת בגין סיום העסקתו אלא "הושאר באוויר" לחכות לשיבוץ.</w:t>
      </w:r>
      <w:r w:rsidRPr="00886A78">
        <w:rPr>
          <w:rFonts w:cs="David" w:hint="cs"/>
          <w:b/>
          <w:bCs/>
          <w:noProof w:val="0"/>
          <w:szCs w:val="24"/>
          <w:rtl/>
          <w:lang w:eastAsia="en-US"/>
        </w:rPr>
        <w:t xml:space="preserve"> במצב דברים זה, לגיטימי שבחר לעבוד במקום עבודה אחר שהוצע לו.</w:t>
      </w:r>
      <w:r w:rsidRPr="00886A78">
        <w:rPr>
          <w:rFonts w:cs="David"/>
          <w:b/>
          <w:bCs/>
          <w:noProof w:val="0"/>
          <w:szCs w:val="24"/>
          <w:rtl/>
          <w:lang w:eastAsia="en-US"/>
        </w:rPr>
        <w:t xml:space="preserve"> </w:t>
      </w:r>
    </w:p>
    <w:p w:rsidR="000118BE" w:rsidRPr="00886A78"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b/>
          <w:bCs/>
          <w:noProof w:val="0"/>
          <w:szCs w:val="24"/>
          <w:rtl/>
          <w:lang w:eastAsia="en-US"/>
        </w:rPr>
      </w:pPr>
      <w:r w:rsidRPr="00886A78">
        <w:rPr>
          <w:rFonts w:cs="David" w:hint="cs"/>
          <w:b/>
          <w:bCs/>
          <w:noProof w:val="0"/>
          <w:szCs w:val="24"/>
          <w:rtl/>
          <w:lang w:eastAsia="en-US"/>
        </w:rPr>
        <w:tab/>
        <w:t xml:space="preserve">לתובע נפסקו </w:t>
      </w:r>
      <w:r w:rsidRPr="00886A78">
        <w:rPr>
          <w:rFonts w:cs="David"/>
          <w:b/>
          <w:bCs/>
          <w:noProof w:val="0"/>
          <w:szCs w:val="24"/>
          <w:rtl/>
          <w:lang w:eastAsia="en-US"/>
        </w:rPr>
        <w:t>פיצויי פיטורים</w:t>
      </w:r>
      <w:r w:rsidRPr="00886A78">
        <w:rPr>
          <w:rFonts w:cs="David" w:hint="cs"/>
          <w:b/>
          <w:bCs/>
          <w:noProof w:val="0"/>
          <w:szCs w:val="24"/>
          <w:rtl/>
          <w:lang w:eastAsia="en-US"/>
        </w:rPr>
        <w:t xml:space="preserve">, </w:t>
      </w:r>
      <w:r w:rsidRPr="00886A78">
        <w:rPr>
          <w:rFonts w:cs="David"/>
          <w:b/>
          <w:bCs/>
          <w:noProof w:val="0"/>
          <w:szCs w:val="24"/>
          <w:rtl/>
          <w:lang w:eastAsia="en-US"/>
        </w:rPr>
        <w:t>תמורת הודעה מוקדמת</w:t>
      </w:r>
      <w:r w:rsidRPr="00886A78">
        <w:rPr>
          <w:rFonts w:cs="David" w:hint="cs"/>
          <w:b/>
          <w:bCs/>
          <w:noProof w:val="0"/>
          <w:szCs w:val="24"/>
          <w:rtl/>
          <w:lang w:eastAsia="en-US"/>
        </w:rPr>
        <w:t xml:space="preserve">, </w:t>
      </w:r>
      <w:r w:rsidRPr="00886A78">
        <w:rPr>
          <w:rFonts w:cs="David"/>
          <w:b/>
          <w:bCs/>
          <w:noProof w:val="0"/>
          <w:szCs w:val="24"/>
          <w:rtl/>
          <w:lang w:eastAsia="en-US"/>
        </w:rPr>
        <w:t xml:space="preserve">פיצוי בגין אי עריכת שימוע </w:t>
      </w:r>
      <w:r w:rsidRPr="00886A78">
        <w:rPr>
          <w:rFonts w:cs="David" w:hint="cs"/>
          <w:b/>
          <w:bCs/>
          <w:noProof w:val="0"/>
          <w:szCs w:val="24"/>
          <w:rtl/>
          <w:lang w:eastAsia="en-US"/>
        </w:rPr>
        <w:t xml:space="preserve">וזכויות סוציאליות שונות בסך כולל של כ - 30,000 ₪ והוצאות משפט בסך 5,000 ₪. </w:t>
      </w:r>
    </w:p>
    <w:bookmarkEnd w:id="38"/>
    <w:p w:rsidR="000118BE" w:rsidRPr="006D1024" w:rsidRDefault="000118BE" w:rsidP="00A8553B">
      <w:pPr>
        <w:tabs>
          <w:tab w:val="left" w:pos="90"/>
        </w:tabs>
        <w:bidi/>
        <w:spacing w:line="360" w:lineRule="auto"/>
        <w:ind w:left="44"/>
        <w:jc w:val="both"/>
        <w:rPr>
          <w:sz w:val="22"/>
          <w:szCs w:val="22"/>
          <w:rtl/>
        </w:rPr>
      </w:pPr>
      <w:r w:rsidRPr="00886A78">
        <w:rPr>
          <w:rFonts w:hint="cs"/>
          <w:sz w:val="22"/>
          <w:szCs w:val="22"/>
          <w:rtl/>
        </w:rPr>
        <w:t xml:space="preserve">סע (ת"א) 52630-03-12 </w:t>
      </w:r>
      <w:r w:rsidRPr="00F42D7C">
        <w:rPr>
          <w:color w:val="FF0000"/>
          <w:sz w:val="22"/>
          <w:szCs w:val="22"/>
        </w:rPr>
        <w:t>●</w:t>
      </w:r>
      <w:r w:rsidRPr="00F42D7C">
        <w:rPr>
          <w:rFonts w:hint="cs"/>
          <w:b/>
          <w:bCs/>
          <w:color w:val="FF0000"/>
          <w:sz w:val="22"/>
          <w:szCs w:val="22"/>
          <w:rtl/>
        </w:rPr>
        <w:t xml:space="preserve"> </w:t>
      </w:r>
      <w:r w:rsidRPr="00014E5E">
        <w:rPr>
          <w:rFonts w:hint="cs"/>
          <w:b/>
          <w:bCs/>
          <w:color w:val="FF0000"/>
          <w:sz w:val="22"/>
          <w:szCs w:val="22"/>
          <w:rtl/>
        </w:rPr>
        <w:t>ישראל מורגנשטרן - רשת בטחון בע"מ</w:t>
      </w:r>
      <w:r w:rsidRPr="00014E5E">
        <w:rPr>
          <w:rFonts w:hint="cs"/>
          <w:color w:val="FF0000"/>
          <w:sz w:val="22"/>
          <w:szCs w:val="22"/>
          <w:rtl/>
        </w:rPr>
        <w:t xml:space="preserve"> </w:t>
      </w:r>
      <w:r w:rsidRPr="00886A78">
        <w:rPr>
          <w:rFonts w:hint="cs"/>
          <w:sz w:val="22"/>
          <w:szCs w:val="22"/>
          <w:rtl/>
        </w:rPr>
        <w:t xml:space="preserve">(30.12.13) </w:t>
      </w:r>
      <w:r w:rsidRPr="00886A78">
        <w:rPr>
          <w:sz w:val="22"/>
          <w:szCs w:val="22"/>
        </w:rPr>
        <w:t xml:space="preserve"> </w:t>
      </w:r>
      <w:r w:rsidRPr="00F42D7C">
        <w:rPr>
          <w:color w:val="FF0000"/>
          <w:sz w:val="22"/>
          <w:szCs w:val="22"/>
        </w:rPr>
        <w:t>●</w:t>
      </w:r>
      <w:r w:rsidRPr="00886A78">
        <w:rPr>
          <w:rFonts w:hint="cs"/>
          <w:sz w:val="22"/>
          <w:szCs w:val="22"/>
          <w:rtl/>
        </w:rPr>
        <w:t>בפני כבוד השופטת שרון אלקיים.</w:t>
      </w:r>
    </w:p>
    <w:p w:rsidR="000118BE" w:rsidRPr="00BD3500" w:rsidRDefault="000118BE" w:rsidP="00A8553B">
      <w:pPr>
        <w:numPr>
          <w:ilvl w:val="0"/>
          <w:numId w:val="13"/>
        </w:numPr>
        <w:tabs>
          <w:tab w:val="clear" w:pos="258"/>
          <w:tab w:val="left" w:pos="70"/>
          <w:tab w:val="num" w:pos="584"/>
        </w:tabs>
        <w:bidi/>
        <w:spacing w:line="360" w:lineRule="auto"/>
        <w:ind w:hanging="34"/>
        <w:jc w:val="both"/>
        <w:rPr>
          <w:rFonts w:ascii="Arial" w:hAnsi="Arial"/>
          <w:b/>
          <w:bCs/>
          <w:color w:val="0000FF"/>
          <w:sz w:val="24"/>
          <w:u w:val="single"/>
          <w:rtl/>
        </w:rPr>
      </w:pPr>
      <w:r w:rsidRPr="00BD3500">
        <w:rPr>
          <w:rFonts w:ascii="Arial" w:hAnsi="Arial" w:hint="cs"/>
          <w:b/>
          <w:bCs/>
          <w:color w:val="0000FF"/>
          <w:sz w:val="24"/>
          <w:u w:val="single"/>
          <w:rtl/>
        </w:rPr>
        <w:lastRenderedPageBreak/>
        <w:t>ביטול הסעת עובד לאחר תקופה ממושכת מצדיקה התפטרות בדין פיטורים</w:t>
      </w:r>
    </w:p>
    <w:p w:rsidR="000118BE" w:rsidRPr="00B36B47" w:rsidRDefault="000118BE" w:rsidP="00A8553B">
      <w:pPr>
        <w:tabs>
          <w:tab w:val="left" w:pos="62"/>
          <w:tab w:val="left" w:pos="90"/>
        </w:tabs>
        <w:bidi/>
        <w:spacing w:line="360" w:lineRule="auto"/>
        <w:ind w:left="44" w:right="-180" w:hanging="397"/>
        <w:jc w:val="both"/>
        <w:rPr>
          <w:rFonts w:eastAsia="Calibri"/>
          <w:sz w:val="24"/>
          <w:rtl/>
        </w:rPr>
      </w:pPr>
    </w:p>
    <w:p w:rsidR="000118BE"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b/>
          <w:bCs/>
          <w:noProof w:val="0"/>
          <w:szCs w:val="24"/>
          <w:rtl/>
          <w:lang w:eastAsia="en-US"/>
        </w:rPr>
      </w:pPr>
      <w:r w:rsidRPr="003B7479">
        <w:rPr>
          <w:rFonts w:cs="David" w:hint="cs"/>
          <w:b/>
          <w:bCs/>
          <w:noProof w:val="0"/>
          <w:szCs w:val="24"/>
          <w:rtl/>
          <w:lang w:eastAsia="en-US"/>
        </w:rPr>
        <w:t>בית הדין קיבל תביעתה של עובדת חברת קוסמטיקה,</w:t>
      </w:r>
      <w:r w:rsidRPr="003B7479">
        <w:rPr>
          <w:rFonts w:cs="David"/>
          <w:b/>
          <w:bCs/>
          <w:noProof w:val="0"/>
          <w:szCs w:val="24"/>
          <w:rtl/>
          <w:lang w:eastAsia="en-US"/>
        </w:rPr>
        <w:t xml:space="preserve"> </w:t>
      </w:r>
      <w:r w:rsidRPr="003B7479">
        <w:rPr>
          <w:rFonts w:cs="David" w:hint="cs"/>
          <w:b/>
          <w:bCs/>
          <w:noProof w:val="0"/>
          <w:szCs w:val="24"/>
          <w:rtl/>
          <w:lang w:eastAsia="en-US"/>
        </w:rPr>
        <w:t>ש</w:t>
      </w:r>
      <w:r w:rsidRPr="003B7479">
        <w:rPr>
          <w:rFonts w:cs="David"/>
          <w:b/>
          <w:bCs/>
          <w:noProof w:val="0"/>
          <w:szCs w:val="24"/>
          <w:rtl/>
          <w:lang w:eastAsia="en-US"/>
        </w:rPr>
        <w:t xml:space="preserve">התפטרה מעבודתה נוכח הפסקת ההסעות מביתה למקום העבודה. </w:t>
      </w:r>
      <w:r w:rsidRPr="003B7479">
        <w:rPr>
          <w:rFonts w:cs="David" w:hint="cs"/>
          <w:b/>
          <w:bCs/>
          <w:noProof w:val="0"/>
          <w:szCs w:val="24"/>
          <w:rtl/>
          <w:lang w:eastAsia="en-US"/>
        </w:rPr>
        <w:t xml:space="preserve">נקבע, כי </w:t>
      </w:r>
      <w:r w:rsidRPr="003B7479">
        <w:rPr>
          <w:rFonts w:cs="David"/>
          <w:b/>
          <w:bCs/>
          <w:noProof w:val="0"/>
          <w:szCs w:val="24"/>
          <w:rtl/>
          <w:lang w:eastAsia="en-US"/>
        </w:rPr>
        <w:t>ביטול הסעה, שעמדה לרשות ה</w:t>
      </w:r>
      <w:r w:rsidRPr="003B7479">
        <w:rPr>
          <w:rFonts w:cs="David" w:hint="cs"/>
          <w:b/>
          <w:bCs/>
          <w:noProof w:val="0"/>
          <w:szCs w:val="24"/>
          <w:rtl/>
          <w:lang w:eastAsia="en-US"/>
        </w:rPr>
        <w:t>עובדת</w:t>
      </w:r>
      <w:r w:rsidRPr="003B7479">
        <w:rPr>
          <w:rFonts w:cs="David"/>
          <w:b/>
          <w:bCs/>
          <w:noProof w:val="0"/>
          <w:szCs w:val="24"/>
          <w:rtl/>
          <w:lang w:eastAsia="en-US"/>
        </w:rPr>
        <w:t xml:space="preserve"> על ידי הנתבעת משך תקופה ממושכת בת ארבע שנים, מהווה הרעה מוחשית בתנאי העבודה, ולפיכך התובעת הוכיחה כי התפטרה מעבודתה בנסיבות המזכות אותה בתשלום פיצויי פיטורים לפי סעיף 11(א) לחוק פיצויי פיטורים.</w:t>
      </w:r>
      <w:r w:rsidRPr="003B7479">
        <w:rPr>
          <w:rFonts w:cs="David" w:hint="cs"/>
          <w:b/>
          <w:bCs/>
          <w:noProof w:val="0"/>
          <w:szCs w:val="24"/>
          <w:rtl/>
          <w:lang w:eastAsia="en-US"/>
        </w:rPr>
        <w:t xml:space="preserve"> </w:t>
      </w:r>
    </w:p>
    <w:p w:rsidR="000118BE" w:rsidRPr="003B7479"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b/>
          <w:bCs/>
          <w:noProof w:val="0"/>
          <w:szCs w:val="24"/>
          <w:rtl/>
          <w:lang w:eastAsia="en-US"/>
        </w:rPr>
      </w:pPr>
      <w:r w:rsidRPr="003B7479">
        <w:rPr>
          <w:rFonts w:cs="David"/>
          <w:b/>
          <w:bCs/>
          <w:noProof w:val="0"/>
          <w:szCs w:val="24"/>
          <w:rtl/>
          <w:lang w:eastAsia="en-US"/>
        </w:rPr>
        <w:t>בענייננו</w:t>
      </w:r>
      <w:r w:rsidRPr="003B7479">
        <w:rPr>
          <w:rFonts w:cs="David" w:hint="cs"/>
          <w:b/>
          <w:bCs/>
          <w:noProof w:val="0"/>
          <w:szCs w:val="24"/>
          <w:rtl/>
          <w:lang w:eastAsia="en-US"/>
        </w:rPr>
        <w:t>,</w:t>
      </w:r>
      <w:r w:rsidRPr="003B7479">
        <w:rPr>
          <w:rFonts w:cs="David"/>
          <w:b/>
          <w:bCs/>
          <w:noProof w:val="0"/>
          <w:szCs w:val="24"/>
          <w:rtl/>
          <w:lang w:eastAsia="en-US"/>
        </w:rPr>
        <w:t xml:space="preserve"> ביטול ההסעה מהווה הרעה מוחשית, מעצם העובדה כי התובעת אשר הגיעה למקום העבודה בהסעה שעצרה בשתי תחנות בלבד, נדרשה על מנת להמשיך ולהגיע למקום עבודתה לנסוע בתחבורה הציבורית, בשני אוטובוסים במשך כשעה-שעה וחצי. </w:t>
      </w:r>
      <w:r w:rsidRPr="003B7479">
        <w:rPr>
          <w:rFonts w:cs="David" w:hint="cs"/>
          <w:b/>
          <w:bCs/>
          <w:noProof w:val="0"/>
          <w:szCs w:val="24"/>
          <w:rtl/>
          <w:lang w:eastAsia="en-US"/>
        </w:rPr>
        <w:t>בתגובה לכך שהעובדת התריעה בכתב על ההרעה המוחשית, הציעה מעסיקתה כי תשולמנה לה עלויות הוצאות הנסיעה במסגרת כרטיס "חופשי חודשי" או ביצוע העבודה מביתה. אולם, בית הדין קבע, כי הצעות אלו אינן</w:t>
      </w:r>
      <w:r w:rsidRPr="003B7479">
        <w:rPr>
          <w:rFonts w:cs="David"/>
          <w:b/>
          <w:bCs/>
          <w:noProof w:val="0"/>
          <w:szCs w:val="24"/>
          <w:rtl/>
          <w:lang w:eastAsia="en-US"/>
        </w:rPr>
        <w:t xml:space="preserve"> מהוו</w:t>
      </w:r>
      <w:r w:rsidRPr="003B7479">
        <w:rPr>
          <w:rFonts w:cs="David" w:hint="cs"/>
          <w:b/>
          <w:bCs/>
          <w:noProof w:val="0"/>
          <w:szCs w:val="24"/>
          <w:rtl/>
          <w:lang w:eastAsia="en-US"/>
        </w:rPr>
        <w:t>ת</w:t>
      </w:r>
      <w:r w:rsidRPr="003B7479">
        <w:rPr>
          <w:rFonts w:cs="David"/>
          <w:b/>
          <w:bCs/>
          <w:noProof w:val="0"/>
          <w:szCs w:val="24"/>
          <w:rtl/>
          <w:lang w:eastAsia="en-US"/>
        </w:rPr>
        <w:t xml:space="preserve"> חלופה לתנאי עבודתה הקודמים של התובעת. </w:t>
      </w:r>
      <w:r w:rsidRPr="003B7479">
        <w:rPr>
          <w:rFonts w:cs="David" w:hint="cs"/>
          <w:b/>
          <w:bCs/>
          <w:noProof w:val="0"/>
          <w:szCs w:val="24"/>
          <w:rtl/>
          <w:lang w:eastAsia="en-US"/>
        </w:rPr>
        <w:t xml:space="preserve"> </w:t>
      </w:r>
    </w:p>
    <w:p w:rsidR="000118BE" w:rsidRPr="003B7479"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b/>
          <w:bCs/>
          <w:noProof w:val="0"/>
          <w:szCs w:val="24"/>
          <w:rtl/>
          <w:lang w:eastAsia="en-US"/>
        </w:rPr>
      </w:pPr>
      <w:r w:rsidRPr="003B7479">
        <w:rPr>
          <w:rFonts w:cs="David" w:hint="cs"/>
          <w:b/>
          <w:bCs/>
          <w:noProof w:val="0"/>
          <w:szCs w:val="24"/>
          <w:rtl/>
          <w:lang w:eastAsia="en-US"/>
        </w:rPr>
        <w:t xml:space="preserve">משכך, פסק בית הדין כי התובעת זכאית לפיצויי פיטורים בסך 22,971 ₪ ובהוצאות משפט בסך 1,500 ₪. </w:t>
      </w:r>
    </w:p>
    <w:p w:rsidR="000118BE" w:rsidRDefault="000118BE" w:rsidP="00A8553B">
      <w:pPr>
        <w:tabs>
          <w:tab w:val="left" w:pos="90"/>
        </w:tabs>
        <w:bidi/>
        <w:spacing w:line="360" w:lineRule="auto"/>
        <w:ind w:left="44"/>
        <w:jc w:val="both"/>
        <w:rPr>
          <w:sz w:val="22"/>
          <w:szCs w:val="22"/>
          <w:rtl/>
        </w:rPr>
      </w:pPr>
      <w:r w:rsidRPr="003B7479">
        <w:rPr>
          <w:rFonts w:hint="cs"/>
          <w:sz w:val="22"/>
          <w:szCs w:val="22"/>
          <w:rtl/>
        </w:rPr>
        <w:t xml:space="preserve">סע (תא) </w:t>
      </w:r>
      <w:r w:rsidRPr="003B7479">
        <w:rPr>
          <w:rFonts w:ascii="David" w:hAnsi="David"/>
          <w:color w:val="000000"/>
          <w:sz w:val="22"/>
          <w:szCs w:val="22"/>
          <w:rtl/>
        </w:rPr>
        <w:t>675-05-11</w:t>
      </w:r>
      <w:r w:rsidRPr="003B7479">
        <w:rPr>
          <w:rFonts w:hint="cs"/>
          <w:sz w:val="22"/>
          <w:szCs w:val="22"/>
          <w:rtl/>
        </w:rPr>
        <w:t xml:space="preserve"> </w:t>
      </w:r>
      <w:r w:rsidRPr="003B7479">
        <w:rPr>
          <w:color w:val="FF0000"/>
          <w:sz w:val="22"/>
          <w:szCs w:val="22"/>
        </w:rPr>
        <w:t>●</w:t>
      </w:r>
      <w:r w:rsidRPr="003B7479">
        <w:rPr>
          <w:rFonts w:hint="cs"/>
          <w:b/>
          <w:bCs/>
          <w:sz w:val="22"/>
          <w:szCs w:val="22"/>
          <w:rtl/>
        </w:rPr>
        <w:t xml:space="preserve"> </w:t>
      </w:r>
      <w:r w:rsidRPr="00014E5E">
        <w:rPr>
          <w:rFonts w:ascii="David" w:hAnsi="David"/>
          <w:b/>
          <w:bCs/>
          <w:color w:val="FF0000"/>
          <w:sz w:val="22"/>
          <w:szCs w:val="22"/>
          <w:rtl/>
        </w:rPr>
        <w:t xml:space="preserve">חוה לוי נ' מליבו קוסמטיקה בע"מ </w:t>
      </w:r>
      <w:r w:rsidRPr="003B7479">
        <w:rPr>
          <w:rFonts w:hint="cs"/>
          <w:sz w:val="22"/>
          <w:szCs w:val="22"/>
          <w:rtl/>
        </w:rPr>
        <w:t xml:space="preserve">(28.10.13) </w:t>
      </w:r>
      <w:r w:rsidRPr="003B7479">
        <w:rPr>
          <w:sz w:val="22"/>
          <w:szCs w:val="22"/>
        </w:rPr>
        <w:t xml:space="preserve"> </w:t>
      </w:r>
      <w:r w:rsidRPr="003B7479">
        <w:rPr>
          <w:color w:val="FF0000"/>
          <w:sz w:val="22"/>
          <w:szCs w:val="22"/>
        </w:rPr>
        <w:t>●</w:t>
      </w:r>
      <w:r w:rsidRPr="003B7479">
        <w:rPr>
          <w:rFonts w:hint="cs"/>
          <w:sz w:val="22"/>
          <w:szCs w:val="22"/>
          <w:rtl/>
        </w:rPr>
        <w:t xml:space="preserve">בפני כבוד הרשמת אירית הרמל </w:t>
      </w:r>
    </w:p>
    <w:p w:rsidR="00C542C9" w:rsidRPr="003B7479" w:rsidRDefault="00C542C9" w:rsidP="00C542C9">
      <w:pPr>
        <w:tabs>
          <w:tab w:val="left" w:pos="90"/>
        </w:tabs>
        <w:bidi/>
        <w:spacing w:line="360" w:lineRule="auto"/>
        <w:ind w:left="44"/>
        <w:jc w:val="both"/>
        <w:rPr>
          <w:sz w:val="22"/>
          <w:szCs w:val="22"/>
          <w:rtl/>
        </w:rPr>
      </w:pPr>
    </w:p>
    <w:p w:rsidR="000118BE" w:rsidRPr="004F3E52" w:rsidRDefault="000118BE" w:rsidP="00A8553B">
      <w:pPr>
        <w:numPr>
          <w:ilvl w:val="0"/>
          <w:numId w:val="13"/>
        </w:numPr>
        <w:tabs>
          <w:tab w:val="clear" w:pos="258"/>
          <w:tab w:val="left" w:pos="90"/>
          <w:tab w:val="num" w:pos="584"/>
        </w:tabs>
        <w:bidi/>
        <w:spacing w:line="360" w:lineRule="auto"/>
        <w:ind w:hanging="34"/>
        <w:jc w:val="both"/>
        <w:rPr>
          <w:rFonts w:ascii="Arial" w:hAnsi="Arial"/>
          <w:b/>
          <w:bCs/>
          <w:color w:val="008000"/>
          <w:sz w:val="24"/>
          <w:u w:val="single"/>
          <w:rtl/>
        </w:rPr>
      </w:pPr>
      <w:r w:rsidRPr="00BD3500">
        <w:rPr>
          <w:rFonts w:ascii="Arial" w:hAnsi="Arial" w:hint="cs"/>
          <w:b/>
          <w:bCs/>
          <w:color w:val="0000FF"/>
          <w:sz w:val="24"/>
          <w:u w:val="single"/>
          <w:rtl/>
        </w:rPr>
        <w:t>עובד פלשתינאי שעבודתו נסתיימה בהעדר רישיון עבודה לא נחשב למפוטר</w:t>
      </w:r>
    </w:p>
    <w:p w:rsidR="000118BE" w:rsidRPr="00B36B47" w:rsidRDefault="000118BE" w:rsidP="00A8553B">
      <w:pPr>
        <w:tabs>
          <w:tab w:val="left" w:pos="62"/>
          <w:tab w:val="left" w:pos="90"/>
        </w:tabs>
        <w:bidi/>
        <w:spacing w:line="360" w:lineRule="auto"/>
        <w:ind w:left="44" w:right="-180" w:hanging="397"/>
        <w:jc w:val="both"/>
        <w:rPr>
          <w:rFonts w:eastAsia="Calibri"/>
          <w:sz w:val="24"/>
          <w:rtl/>
        </w:rPr>
      </w:pPr>
    </w:p>
    <w:p w:rsidR="000118BE" w:rsidRPr="004F3E52"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b/>
          <w:bCs/>
          <w:noProof w:val="0"/>
          <w:szCs w:val="24"/>
          <w:rtl/>
          <w:lang w:eastAsia="en-US"/>
        </w:rPr>
      </w:pPr>
      <w:r w:rsidRPr="004F3E52">
        <w:rPr>
          <w:rFonts w:cs="David" w:hint="cs"/>
          <w:b/>
          <w:bCs/>
          <w:noProof w:val="0"/>
          <w:szCs w:val="24"/>
          <w:rtl/>
          <w:lang w:eastAsia="en-US"/>
        </w:rPr>
        <w:t xml:space="preserve">עובד פלשתינאי הגיש תביעה נגד המעסיקה לתשלום פיצויי פיטורים ודמי הודעה מוקדמת לאחר, שלטענתו, פוטר מעבודתו עקב העדר רישיון עבודה. כמו כן, תבע הפרשי שכר מינימום, תשלום דמי הבראה, פדיון חופשה, דמי חגים והפרשות לפנסיה. </w:t>
      </w:r>
    </w:p>
    <w:p w:rsidR="000118BE" w:rsidRPr="004F3E52"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b/>
          <w:bCs/>
          <w:noProof w:val="0"/>
          <w:szCs w:val="24"/>
          <w:rtl/>
          <w:lang w:eastAsia="en-US"/>
        </w:rPr>
      </w:pPr>
      <w:r w:rsidRPr="004F3E52">
        <w:rPr>
          <w:rFonts w:cs="David" w:hint="cs"/>
          <w:b/>
          <w:bCs/>
          <w:noProof w:val="0"/>
          <w:szCs w:val="24"/>
          <w:rtl/>
          <w:lang w:eastAsia="en-US"/>
        </w:rPr>
        <w:t>על פי ההלכה הפסוקה, כאשר נסיבה חיצונית, שנכפית על הצדדים, מביאה לכדי סיום יחסי העבודה בין העובד למעביד, והמעביד אינו הגורם המביא לסיום היחסים ואף אין באפשרותו למנוע זאת, אין לראות בכך פיטורים המזכים את העובד בפיצויי פיטורים. בענייננו, רישיון העבודה של העובד לא חודש עקב "מניעות בטחונית".</w:t>
      </w:r>
    </w:p>
    <w:p w:rsidR="000118BE" w:rsidRPr="004F3E52" w:rsidRDefault="000118BE" w:rsidP="007A231C">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b/>
          <w:bCs/>
          <w:noProof w:val="0"/>
          <w:szCs w:val="24"/>
          <w:rtl/>
          <w:lang w:eastAsia="en-US"/>
        </w:rPr>
      </w:pPr>
      <w:r w:rsidRPr="004F3E52">
        <w:rPr>
          <w:rFonts w:cs="David" w:hint="cs"/>
          <w:b/>
          <w:bCs/>
          <w:noProof w:val="0"/>
          <w:szCs w:val="24"/>
          <w:rtl/>
          <w:lang w:eastAsia="en-US"/>
        </w:rPr>
        <w:t xml:space="preserve">בית הדין האזורי דחה את תביעת העובד לתשלום פיצויי פיטורים ודמי הודעה מוקדמת ופסק כי המעסיקה עשתה כל שניתן על מנת לחדש את רישיון העבודה של העובד כדי שתוכל להמשיך ולהעסיקו. כמו כן, נקבע כי במסגרת הסכם העבודה בין הצדדים, קיים תנאי מכללא לפיו, בנסיבות בהן העובד לא יתייצב לעבודה עקב העדר רישיון, מחמת מניעות ביטחונית שהייתה נסיבה צפויה, יבוא הסכם העבודה לידי סיום מוסכם שלא ייחשב כ"פיטורים". בית הדין דחה את טענת העובד לתשלום הפרשי שכר מינימום ושעות נוספות לאחר שלא הוכיח טענות אלו. עם זאת, נפסק לעובד תשלום דמי הבראה בסך 2,222₪, פדיון חופשה בסך 4,471₪, דמי חגים בסך 2,318₪, פיצוי בגין אי ביצוע הפרשות לפנסיה בסך 5,000₪, הוצאות משפט בסך 5000 ₪ וכן שכר טרחת עו"ד בסך 2,000 ₪. </w:t>
      </w:r>
    </w:p>
    <w:p w:rsidR="000118BE" w:rsidRPr="004F3E52" w:rsidRDefault="000118BE" w:rsidP="00A8553B">
      <w:pPr>
        <w:tabs>
          <w:tab w:val="left" w:pos="90"/>
        </w:tabs>
        <w:bidi/>
        <w:spacing w:line="360" w:lineRule="auto"/>
        <w:ind w:left="44"/>
        <w:jc w:val="both"/>
        <w:rPr>
          <w:sz w:val="22"/>
          <w:szCs w:val="22"/>
          <w:rtl/>
        </w:rPr>
      </w:pPr>
      <w:r w:rsidRPr="004F3E52">
        <w:rPr>
          <w:rFonts w:hint="cs"/>
          <w:sz w:val="22"/>
          <w:szCs w:val="22"/>
          <w:rtl/>
        </w:rPr>
        <w:t xml:space="preserve">סע (ת"א) 38872-08-10 </w:t>
      </w:r>
      <w:r w:rsidRPr="0013768B">
        <w:rPr>
          <w:rFonts w:ascii="Arial" w:hAnsi="Arial" w:cs="Arial"/>
          <w:color w:val="FF0000"/>
          <w:sz w:val="22"/>
          <w:szCs w:val="22"/>
        </w:rPr>
        <w:t>●</w:t>
      </w:r>
      <w:r w:rsidRPr="004F3E52">
        <w:rPr>
          <w:rFonts w:hint="cs"/>
          <w:sz w:val="22"/>
          <w:szCs w:val="22"/>
          <w:rtl/>
        </w:rPr>
        <w:t xml:space="preserve"> </w:t>
      </w:r>
      <w:r w:rsidRPr="00014E5E">
        <w:rPr>
          <w:rFonts w:hint="cs"/>
          <w:b/>
          <w:bCs/>
          <w:color w:val="FF0000"/>
          <w:sz w:val="22"/>
          <w:szCs w:val="22"/>
          <w:rtl/>
        </w:rPr>
        <w:t>בשאר סולטאן נ' סופרגום תעשיות (1969) בע"מ</w:t>
      </w:r>
      <w:r w:rsidRPr="00014E5E">
        <w:rPr>
          <w:rFonts w:hint="cs"/>
          <w:color w:val="FF0000"/>
          <w:sz w:val="22"/>
          <w:szCs w:val="22"/>
          <w:rtl/>
        </w:rPr>
        <w:t xml:space="preserve"> </w:t>
      </w:r>
      <w:r w:rsidRPr="004F3E52">
        <w:rPr>
          <w:rFonts w:hint="cs"/>
          <w:sz w:val="22"/>
          <w:szCs w:val="22"/>
          <w:rtl/>
        </w:rPr>
        <w:t xml:space="preserve">(6.11.13) </w:t>
      </w:r>
      <w:r w:rsidRPr="004F3E52">
        <w:rPr>
          <w:sz w:val="22"/>
          <w:szCs w:val="22"/>
        </w:rPr>
        <w:t xml:space="preserve"> </w:t>
      </w:r>
      <w:r w:rsidRPr="0013768B">
        <w:rPr>
          <w:rFonts w:ascii="Arial" w:hAnsi="Arial" w:cs="Arial"/>
          <w:color w:val="FF0000"/>
          <w:sz w:val="22"/>
          <w:szCs w:val="22"/>
        </w:rPr>
        <w:t>●</w:t>
      </w:r>
      <w:r w:rsidRPr="004F3E52">
        <w:rPr>
          <w:rFonts w:hint="cs"/>
          <w:sz w:val="22"/>
          <w:szCs w:val="22"/>
          <w:rtl/>
        </w:rPr>
        <w:t>בפני כבוד השופטת סיגל דוידוב- מוטולה, נ.ע. גב' ברכה זיגלמן, נ.מ. מר יוסי פרלמן</w:t>
      </w:r>
    </w:p>
    <w:p w:rsidR="000118BE" w:rsidRPr="00BD3500" w:rsidRDefault="000118BE" w:rsidP="00A8553B">
      <w:pPr>
        <w:numPr>
          <w:ilvl w:val="0"/>
          <w:numId w:val="13"/>
        </w:numPr>
        <w:tabs>
          <w:tab w:val="clear" w:pos="258"/>
          <w:tab w:val="left" w:pos="90"/>
          <w:tab w:val="num" w:pos="584"/>
          <w:tab w:val="right" w:pos="8311"/>
        </w:tabs>
        <w:bidi/>
        <w:spacing w:line="360" w:lineRule="auto"/>
        <w:ind w:hanging="34"/>
        <w:jc w:val="both"/>
        <w:rPr>
          <w:rFonts w:ascii="Arial" w:hAnsi="Arial"/>
          <w:b/>
          <w:bCs/>
          <w:color w:val="0000FF"/>
          <w:sz w:val="24"/>
          <w:u w:val="single"/>
          <w:rtl/>
        </w:rPr>
      </w:pPr>
      <w:r w:rsidRPr="00BD3500">
        <w:rPr>
          <w:rFonts w:ascii="Arial" w:hAnsi="Arial" w:hint="cs"/>
          <w:b/>
          <w:bCs/>
          <w:color w:val="0000FF"/>
          <w:sz w:val="24"/>
          <w:u w:val="single"/>
          <w:rtl/>
        </w:rPr>
        <w:lastRenderedPageBreak/>
        <w:t>תקדים- עובד, שפוטר שלא כדין, הוחזר לעבודה לאחר 6 שנים עקב נסיבות מיוחדות</w:t>
      </w:r>
    </w:p>
    <w:p w:rsidR="000118BE" w:rsidRPr="004F3E52" w:rsidRDefault="000118BE" w:rsidP="00A8553B">
      <w:pPr>
        <w:tabs>
          <w:tab w:val="left" w:pos="90"/>
        </w:tabs>
        <w:bidi/>
        <w:spacing w:line="360" w:lineRule="auto"/>
        <w:jc w:val="both"/>
        <w:rPr>
          <w:rFonts w:ascii="Arial" w:hAnsi="Arial"/>
          <w:b/>
          <w:bCs/>
          <w:color w:val="008000"/>
          <w:sz w:val="24"/>
          <w:u w:val="single"/>
          <w:rtl/>
        </w:rPr>
      </w:pPr>
    </w:p>
    <w:p w:rsidR="000118BE" w:rsidRPr="00C70FF0"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b/>
          <w:bCs/>
          <w:noProof w:val="0"/>
          <w:szCs w:val="24"/>
          <w:rtl/>
          <w:lang w:eastAsia="en-US"/>
        </w:rPr>
      </w:pPr>
      <w:r w:rsidRPr="00C70FF0">
        <w:rPr>
          <w:rFonts w:cs="David" w:hint="cs"/>
          <w:b/>
          <w:bCs/>
          <w:noProof w:val="0"/>
          <w:szCs w:val="24"/>
          <w:rtl/>
          <w:lang w:eastAsia="en-US"/>
        </w:rPr>
        <w:t xml:space="preserve">עובד שהורשע בביצוע עבירה של מעשה מגונה, מחוץ למקום העבודה, פוטר לאחר שהמנהל סבר כי מעשיו נגועים בקלון. </w:t>
      </w:r>
    </w:p>
    <w:p w:rsidR="000118BE" w:rsidRPr="00C70FF0"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b/>
          <w:bCs/>
          <w:noProof w:val="0"/>
          <w:szCs w:val="24"/>
          <w:rtl/>
          <w:lang w:eastAsia="en-US"/>
        </w:rPr>
      </w:pPr>
      <w:r w:rsidRPr="00C70FF0">
        <w:rPr>
          <w:rFonts w:cs="David" w:hint="cs"/>
          <w:b/>
          <w:bCs/>
          <w:noProof w:val="0"/>
          <w:szCs w:val="24"/>
          <w:rtl/>
          <w:lang w:eastAsia="en-US"/>
        </w:rPr>
        <w:t xml:space="preserve">על פי חוק שירות המדינה (משמעת), התשכ"ג-1963, ישנן שתי דרכים לפיטורי עובד: מסלול משמעתי- הגשת קובלנה לבית הדין למשמעת, מסלול מנהלי- פיטורי עובד שהורשע בעבירה שיש עמה קלון. </w:t>
      </w:r>
    </w:p>
    <w:p w:rsidR="000118BE" w:rsidRPr="00C70FF0"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b/>
          <w:bCs/>
          <w:noProof w:val="0"/>
          <w:szCs w:val="24"/>
          <w:rtl/>
          <w:lang w:eastAsia="en-US"/>
        </w:rPr>
      </w:pPr>
      <w:r w:rsidRPr="00C70FF0">
        <w:rPr>
          <w:rFonts w:cs="David" w:hint="cs"/>
          <w:b/>
          <w:bCs/>
          <w:noProof w:val="0"/>
          <w:szCs w:val="24"/>
          <w:rtl/>
          <w:lang w:eastAsia="en-US"/>
        </w:rPr>
        <w:t xml:space="preserve">בית הדין האזורי לעבודה פסק  כי ההחלטות להטביע קלון על מעשיו של העובד ולפטרו במסלול המנהלי אינן סבירות ואינן מידתיות, ולפיכך דינן להתבטל. חרף זאת, קבע כי אין להשיבו למקום העבודה ופסק פיצויים לעובד. </w:t>
      </w:r>
    </w:p>
    <w:p w:rsidR="000118BE" w:rsidRPr="00C70FF0"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b/>
          <w:bCs/>
          <w:noProof w:val="0"/>
          <w:szCs w:val="24"/>
          <w:rtl/>
          <w:lang w:eastAsia="en-US"/>
        </w:rPr>
      </w:pPr>
      <w:r w:rsidRPr="00C70FF0">
        <w:rPr>
          <w:rFonts w:cs="David" w:hint="cs"/>
          <w:b/>
          <w:bCs/>
          <w:noProof w:val="0"/>
          <w:szCs w:val="24"/>
          <w:rtl/>
          <w:lang w:eastAsia="en-US"/>
        </w:rPr>
        <w:t>בית הדין הארצי לעבודה סבר אף הוא כי מן הראוי היה שהמעסיק יבחר במסלול המשמעתי. עם זאת, סירב לנקוט בסעד קיצוני של השבת העובד למקום עבודתו והסתפק במתן סעד כספי.</w:t>
      </w:r>
    </w:p>
    <w:p w:rsidR="000118BE" w:rsidRPr="00C70FF0"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b/>
          <w:bCs/>
          <w:noProof w:val="0"/>
          <w:szCs w:val="24"/>
          <w:rtl/>
          <w:lang w:eastAsia="en-US"/>
        </w:rPr>
      </w:pPr>
      <w:r w:rsidRPr="00C70FF0">
        <w:rPr>
          <w:rFonts w:cs="David" w:hint="cs"/>
          <w:b/>
          <w:bCs/>
          <w:noProof w:val="0"/>
          <w:szCs w:val="24"/>
          <w:rtl/>
          <w:lang w:eastAsia="en-US"/>
        </w:rPr>
        <w:t>בעתירה שהוגשה לבג"ץ נפסק כי, ככלל בטרם יפסוק בית המשפט מתן סעד חריג של אכיפה חוזה עבודה, עליו לשקול שיקולים כלהלן: מהותו של הפגם שנפל בהליך הפיטורים וחומרתו; סוג המשרה בה מדובר; השפעתו של הסעד שיינתן על העובד, תוך מתן משקל להיבטים החוקיים והחוקתיים.</w:t>
      </w:r>
    </w:p>
    <w:p w:rsidR="000118BE" w:rsidRPr="00C70FF0"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b/>
          <w:bCs/>
          <w:noProof w:val="0"/>
          <w:szCs w:val="24"/>
          <w:rtl/>
          <w:lang w:eastAsia="en-US"/>
        </w:rPr>
      </w:pPr>
      <w:r w:rsidRPr="00C70FF0">
        <w:rPr>
          <w:rFonts w:cs="David" w:hint="cs"/>
          <w:b/>
          <w:bCs/>
          <w:noProof w:val="0"/>
          <w:szCs w:val="24"/>
          <w:rtl/>
          <w:lang w:eastAsia="en-US"/>
        </w:rPr>
        <w:t>בענייננו, פסק בג"ץ כי לאור העדר זיקה בין העבירה למקום העבודה, הזמן שחלף מביצוע העבירה וכן התפקיד הטכני שביצע העובד במקום עבודה גדול, הליך הפיטורים, הנגוע בפגם מהותי, פגע בזכויותיו של העובד באופן בלתי סביר ובלתי מידתי ולפיכך לא די בפיצוי כספי ויש להחזירו למקום עבודתו, אף על פי שחלפו 6 שנים. כמו כן, פסק כי הנתבעים יישאו בהוצאות בסך 15,000 ₪.</w:t>
      </w:r>
    </w:p>
    <w:p w:rsidR="000118BE" w:rsidRDefault="000118BE" w:rsidP="00A8553B">
      <w:pPr>
        <w:tabs>
          <w:tab w:val="left" w:pos="90"/>
        </w:tabs>
        <w:bidi/>
        <w:spacing w:line="360" w:lineRule="auto"/>
        <w:ind w:left="44"/>
        <w:jc w:val="both"/>
        <w:rPr>
          <w:sz w:val="22"/>
          <w:szCs w:val="22"/>
          <w:rtl/>
        </w:rPr>
      </w:pPr>
      <w:r w:rsidRPr="00C70FF0">
        <w:rPr>
          <w:rFonts w:hint="cs"/>
          <w:sz w:val="22"/>
          <w:szCs w:val="22"/>
          <w:rtl/>
        </w:rPr>
        <w:t xml:space="preserve">בג"ץ 1719/11 </w:t>
      </w:r>
      <w:r w:rsidRPr="00C70FF0">
        <w:rPr>
          <w:color w:val="FF0000"/>
          <w:sz w:val="22"/>
          <w:szCs w:val="22"/>
        </w:rPr>
        <w:t>●</w:t>
      </w:r>
      <w:r w:rsidRPr="00C70FF0">
        <w:rPr>
          <w:rFonts w:hint="cs"/>
          <w:b/>
          <w:bCs/>
          <w:sz w:val="22"/>
          <w:szCs w:val="22"/>
          <w:rtl/>
        </w:rPr>
        <w:t xml:space="preserve"> </w:t>
      </w:r>
      <w:r w:rsidRPr="00014E5E">
        <w:rPr>
          <w:rFonts w:hint="cs"/>
          <w:b/>
          <w:bCs/>
          <w:color w:val="FF0000"/>
          <w:sz w:val="22"/>
          <w:szCs w:val="22"/>
          <w:rtl/>
        </w:rPr>
        <w:t>ניסן פונדקי נ' בית הדין האזורי לעבודה בתל אביב יפו</w:t>
      </w:r>
      <w:r w:rsidRPr="00014E5E">
        <w:rPr>
          <w:rFonts w:hint="cs"/>
          <w:color w:val="FF0000"/>
          <w:sz w:val="22"/>
          <w:szCs w:val="22"/>
          <w:rtl/>
        </w:rPr>
        <w:t xml:space="preserve"> </w:t>
      </w:r>
      <w:r w:rsidRPr="00C70FF0">
        <w:rPr>
          <w:rFonts w:hint="cs"/>
          <w:sz w:val="22"/>
          <w:szCs w:val="22"/>
          <w:rtl/>
        </w:rPr>
        <w:t xml:space="preserve">(19.11.13) </w:t>
      </w:r>
      <w:r w:rsidRPr="00C70FF0">
        <w:rPr>
          <w:sz w:val="22"/>
          <w:szCs w:val="22"/>
        </w:rPr>
        <w:t xml:space="preserve"> </w:t>
      </w:r>
      <w:r w:rsidRPr="00C70FF0">
        <w:rPr>
          <w:color w:val="FF0000"/>
          <w:sz w:val="22"/>
          <w:szCs w:val="22"/>
        </w:rPr>
        <w:t>●</w:t>
      </w:r>
      <w:r w:rsidRPr="00C70FF0">
        <w:rPr>
          <w:rFonts w:hint="cs"/>
          <w:sz w:val="22"/>
          <w:szCs w:val="22"/>
          <w:rtl/>
        </w:rPr>
        <w:t>בפני כבוד השופט א' רובינשטיין, כבוד השופט נ' הנדל, כבוד השופטת ד' ברק- ארז</w:t>
      </w:r>
    </w:p>
    <w:p w:rsidR="000118BE" w:rsidRDefault="000118BE" w:rsidP="00A8553B">
      <w:pPr>
        <w:tabs>
          <w:tab w:val="left" w:pos="90"/>
        </w:tabs>
        <w:bidi/>
        <w:spacing w:line="360" w:lineRule="auto"/>
        <w:ind w:left="44"/>
        <w:jc w:val="both"/>
        <w:rPr>
          <w:sz w:val="22"/>
          <w:szCs w:val="22"/>
          <w:rtl/>
        </w:rPr>
      </w:pPr>
    </w:p>
    <w:p w:rsidR="000118BE" w:rsidRPr="00BD3500" w:rsidRDefault="000118BE" w:rsidP="00A8553B">
      <w:pPr>
        <w:numPr>
          <w:ilvl w:val="0"/>
          <w:numId w:val="13"/>
        </w:numPr>
        <w:tabs>
          <w:tab w:val="clear" w:pos="258"/>
          <w:tab w:val="left" w:pos="90"/>
          <w:tab w:val="num" w:pos="584"/>
          <w:tab w:val="right" w:pos="8311"/>
        </w:tabs>
        <w:bidi/>
        <w:spacing w:line="360" w:lineRule="auto"/>
        <w:ind w:hanging="34"/>
        <w:jc w:val="both"/>
        <w:rPr>
          <w:rFonts w:ascii="Arial" w:hAnsi="Arial"/>
          <w:b/>
          <w:bCs/>
          <w:color w:val="0000FF"/>
          <w:sz w:val="24"/>
          <w:u w:val="single"/>
          <w:rtl/>
        </w:rPr>
      </w:pPr>
      <w:r w:rsidRPr="00BD3500">
        <w:rPr>
          <w:rFonts w:ascii="Arial" w:hAnsi="Arial" w:hint="cs"/>
          <w:b/>
          <w:bCs/>
          <w:color w:val="0000FF"/>
          <w:sz w:val="24"/>
          <w:u w:val="single"/>
          <w:rtl/>
        </w:rPr>
        <w:t>התפטרות בגלל חשיפה לעישון פאסיבי במקום העבודה דינה כפטורים ומזכה בפיצוי</w:t>
      </w:r>
    </w:p>
    <w:p w:rsidR="000118BE" w:rsidRPr="004F3E52" w:rsidRDefault="000118BE" w:rsidP="00A8553B">
      <w:pPr>
        <w:tabs>
          <w:tab w:val="left" w:pos="90"/>
        </w:tabs>
        <w:bidi/>
        <w:spacing w:line="360" w:lineRule="auto"/>
        <w:jc w:val="both"/>
        <w:rPr>
          <w:rFonts w:ascii="Arial" w:hAnsi="Arial"/>
          <w:b/>
          <w:bCs/>
          <w:color w:val="008000"/>
          <w:sz w:val="24"/>
          <w:u w:val="single"/>
          <w:rtl/>
        </w:rPr>
      </w:pPr>
    </w:p>
    <w:p w:rsidR="000118BE" w:rsidRPr="00862796"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b/>
          <w:bCs/>
          <w:noProof w:val="0"/>
          <w:szCs w:val="24"/>
          <w:rtl/>
          <w:lang w:eastAsia="en-US"/>
        </w:rPr>
      </w:pPr>
      <w:r w:rsidRPr="00862796">
        <w:rPr>
          <w:rFonts w:cs="David" w:hint="cs"/>
          <w:b/>
          <w:bCs/>
          <w:noProof w:val="0"/>
          <w:szCs w:val="24"/>
          <w:rtl/>
          <w:lang w:eastAsia="en-US"/>
        </w:rPr>
        <w:t>בית הדין האזורי לעבודה קיבל בחלקה את תביעתה של עובדת בהריון, פקידה במשרד עורכי-דין, שהתפטרה מעבודתה לאחר שמעסיקה לא הפסיק את העישון במשרדו, על אף פניותיה. בית הדין פסק, כי</w:t>
      </w:r>
      <w:r w:rsidRPr="00862796">
        <w:rPr>
          <w:rFonts w:cs="David"/>
          <w:b/>
          <w:bCs/>
          <w:noProof w:val="0"/>
          <w:szCs w:val="24"/>
          <w:rtl/>
          <w:lang w:eastAsia="en-US"/>
        </w:rPr>
        <w:t xml:space="preserve"> הפרת חובתו של הנתבע לדאוג לסביבת עבודה הולמת, שלא תחשוף את התובעת לסיכונים בריאותיים הנובעים מהעישון הפסיבי אליו נחשפה, מהווה חוסר תום לב מצד הנתבע בקיום חובותיו כלפי התובעת, ובמיוחד משפנתה וביקשה תיקון המצב, ללא הועיל.</w:t>
      </w:r>
      <w:r w:rsidRPr="00862796">
        <w:rPr>
          <w:rFonts w:cs="David" w:hint="cs"/>
          <w:b/>
          <w:bCs/>
          <w:noProof w:val="0"/>
          <w:szCs w:val="24"/>
          <w:rtl/>
          <w:lang w:eastAsia="en-US"/>
        </w:rPr>
        <w:t xml:space="preserve"> </w:t>
      </w:r>
    </w:p>
    <w:p w:rsidR="000118BE"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b/>
          <w:bCs/>
          <w:noProof w:val="0"/>
          <w:szCs w:val="24"/>
          <w:rtl/>
          <w:lang w:eastAsia="en-US"/>
        </w:rPr>
      </w:pPr>
      <w:r w:rsidRPr="00862796">
        <w:rPr>
          <w:rFonts w:cs="David"/>
          <w:b/>
          <w:bCs/>
          <w:noProof w:val="0"/>
          <w:szCs w:val="24"/>
          <w:rtl/>
          <w:lang w:eastAsia="en-US"/>
        </w:rPr>
        <w:t>במקום עבודה בו מופר החוק למניעת העישון ובעקבות הפרה זו מתפטר עובד, זכאי הוא לפיצויי פיטורים. יתר על כן, גם בלא הפרת חוק זה, מקום שבית הדין משתכנע, כי עובד התפטר בגלל העישון בקרבתו במקום העבודה והדבר גורם לו לקושי בעבודה או למטרד, יש לזכותו בפיצויי פיטורים</w:t>
      </w:r>
      <w:r w:rsidRPr="00862796">
        <w:rPr>
          <w:rFonts w:cs="David" w:hint="cs"/>
          <w:b/>
          <w:bCs/>
          <w:noProof w:val="0"/>
          <w:szCs w:val="24"/>
          <w:rtl/>
          <w:lang w:eastAsia="en-US"/>
        </w:rPr>
        <w:t>.</w:t>
      </w:r>
    </w:p>
    <w:p w:rsidR="000118BE" w:rsidRPr="00862796"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b/>
          <w:bCs/>
          <w:noProof w:val="0"/>
          <w:szCs w:val="24"/>
          <w:rtl/>
          <w:lang w:eastAsia="en-US"/>
        </w:rPr>
      </w:pPr>
      <w:r w:rsidRPr="00862796">
        <w:rPr>
          <w:rFonts w:cs="David"/>
          <w:b/>
          <w:bCs/>
          <w:noProof w:val="0"/>
          <w:szCs w:val="24"/>
          <w:rtl/>
          <w:lang w:eastAsia="en-US"/>
        </w:rPr>
        <w:t xml:space="preserve">בענייננו, </w:t>
      </w:r>
      <w:r w:rsidRPr="00862796">
        <w:rPr>
          <w:rFonts w:cs="David" w:hint="cs"/>
          <w:b/>
          <w:bCs/>
          <w:noProof w:val="0"/>
          <w:szCs w:val="24"/>
          <w:rtl/>
          <w:lang w:eastAsia="en-US"/>
        </w:rPr>
        <w:t xml:space="preserve">התובעת עישנה בעצמה וביקשה לשנות את הנוהג רק לאחר שהרתה, אי לכך </w:t>
      </w:r>
      <w:r w:rsidRPr="00862796">
        <w:rPr>
          <w:rFonts w:cs="David"/>
          <w:b/>
          <w:bCs/>
          <w:noProof w:val="0"/>
          <w:szCs w:val="24"/>
          <w:rtl/>
          <w:lang w:eastAsia="en-US"/>
        </w:rPr>
        <w:t>אין לומר כי הייתה הרעה מוחשית בתנאי עבודתה, אלא שקיימות נסיבות בהן אין לדרוש ממנה כי תמשיך בעבודתה</w:t>
      </w:r>
      <w:r w:rsidRPr="00862796">
        <w:rPr>
          <w:rFonts w:cs="David" w:hint="cs"/>
          <w:b/>
          <w:bCs/>
          <w:noProof w:val="0"/>
          <w:szCs w:val="24"/>
          <w:rtl/>
          <w:lang w:eastAsia="en-US"/>
        </w:rPr>
        <w:t>.</w:t>
      </w:r>
      <w:r w:rsidRPr="00862796">
        <w:rPr>
          <w:rFonts w:cs="David"/>
          <w:b/>
          <w:bCs/>
          <w:noProof w:val="0"/>
          <w:szCs w:val="24"/>
          <w:rtl/>
          <w:lang w:eastAsia="en-US"/>
        </w:rPr>
        <w:t xml:space="preserve"> לפיכך, התפטרותה לעניין </w:t>
      </w:r>
      <w:hyperlink r:id="rId28" w:history="1">
        <w:r w:rsidRPr="00862796">
          <w:rPr>
            <w:rFonts w:cs="David"/>
            <w:b/>
            <w:bCs/>
            <w:noProof w:val="0"/>
            <w:szCs w:val="24"/>
            <w:rtl/>
            <w:lang w:eastAsia="en-US"/>
          </w:rPr>
          <w:t>חוק פיצויי פיטורים</w:t>
        </w:r>
      </w:hyperlink>
      <w:r w:rsidRPr="00862796">
        <w:rPr>
          <w:rFonts w:cs="David"/>
          <w:b/>
          <w:bCs/>
          <w:noProof w:val="0"/>
          <w:szCs w:val="24"/>
          <w:rtl/>
          <w:lang w:eastAsia="en-US"/>
        </w:rPr>
        <w:t xml:space="preserve"> הינה בדין מפוטר. בנסיבות העניין</w:t>
      </w:r>
      <w:r w:rsidRPr="00862796">
        <w:rPr>
          <w:rFonts w:cs="David" w:hint="cs"/>
          <w:b/>
          <w:bCs/>
          <w:noProof w:val="0"/>
          <w:szCs w:val="24"/>
          <w:rtl/>
          <w:lang w:eastAsia="en-US"/>
        </w:rPr>
        <w:t>, מאחר שהתובעת לא השלימה שנת עבודה</w:t>
      </w:r>
      <w:r w:rsidRPr="00862796">
        <w:rPr>
          <w:rFonts w:cs="David"/>
          <w:b/>
          <w:bCs/>
          <w:noProof w:val="0"/>
          <w:szCs w:val="24"/>
          <w:rtl/>
          <w:lang w:eastAsia="en-US"/>
        </w:rPr>
        <w:t xml:space="preserve"> היא אינה זכאית לפיצויי פיטורים</w:t>
      </w:r>
      <w:r w:rsidRPr="00862796">
        <w:rPr>
          <w:rFonts w:cs="David" w:hint="cs"/>
          <w:b/>
          <w:bCs/>
          <w:noProof w:val="0"/>
          <w:szCs w:val="24"/>
          <w:rtl/>
          <w:lang w:eastAsia="en-US"/>
        </w:rPr>
        <w:t xml:space="preserve">, </w:t>
      </w:r>
      <w:r w:rsidRPr="00862796">
        <w:rPr>
          <w:rFonts w:cs="David"/>
          <w:b/>
          <w:bCs/>
          <w:noProof w:val="0"/>
          <w:szCs w:val="24"/>
          <w:rtl/>
          <w:lang w:eastAsia="en-US"/>
        </w:rPr>
        <w:t xml:space="preserve">אף שיש לראות בה כמפוטרת </w:t>
      </w:r>
      <w:r w:rsidRPr="00862796">
        <w:rPr>
          <w:rFonts w:cs="David"/>
          <w:b/>
          <w:bCs/>
          <w:noProof w:val="0"/>
          <w:szCs w:val="24"/>
          <w:rtl/>
          <w:lang w:eastAsia="en-US"/>
        </w:rPr>
        <w:lastRenderedPageBreak/>
        <w:t xml:space="preserve">לעניין </w:t>
      </w:r>
      <w:hyperlink r:id="rId29" w:history="1">
        <w:r w:rsidRPr="00862796">
          <w:rPr>
            <w:rFonts w:cs="David"/>
            <w:b/>
            <w:bCs/>
            <w:noProof w:val="0"/>
            <w:szCs w:val="24"/>
            <w:rtl/>
            <w:lang w:eastAsia="en-US"/>
          </w:rPr>
          <w:t>חוק פיצויי פיטורים</w:t>
        </w:r>
      </w:hyperlink>
      <w:r w:rsidRPr="00862796">
        <w:rPr>
          <w:rFonts w:cs="David" w:hint="cs"/>
          <w:b/>
          <w:bCs/>
          <w:noProof w:val="0"/>
          <w:szCs w:val="24"/>
          <w:rtl/>
          <w:lang w:eastAsia="en-US"/>
        </w:rPr>
        <w:t xml:space="preserve">. </w:t>
      </w:r>
      <w:r w:rsidRPr="00862796">
        <w:rPr>
          <w:rFonts w:cs="David"/>
          <w:b/>
          <w:bCs/>
          <w:noProof w:val="0"/>
          <w:szCs w:val="24"/>
          <w:rtl/>
          <w:lang w:eastAsia="en-US"/>
        </w:rPr>
        <w:t>בנסיבות שבנדון, ברי</w:t>
      </w:r>
      <w:r w:rsidRPr="00862796">
        <w:rPr>
          <w:rFonts w:cs="David" w:hint="cs"/>
          <w:b/>
          <w:bCs/>
          <w:noProof w:val="0"/>
          <w:szCs w:val="24"/>
          <w:rtl/>
          <w:lang w:eastAsia="en-US"/>
        </w:rPr>
        <w:t xml:space="preserve"> גם</w:t>
      </w:r>
      <w:r w:rsidRPr="00862796">
        <w:rPr>
          <w:rFonts w:cs="David"/>
          <w:b/>
          <w:bCs/>
          <w:noProof w:val="0"/>
          <w:szCs w:val="24"/>
          <w:rtl/>
          <w:lang w:eastAsia="en-US"/>
        </w:rPr>
        <w:t xml:space="preserve"> כי חל על התובעת החריג לחוק הודעה מוקדמת, לפיו אין לדרוש ממנה כי תעבוד בתקופת ההודעה המוקדמת.</w:t>
      </w:r>
    </w:p>
    <w:p w:rsidR="000118BE" w:rsidRPr="00862796"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b/>
          <w:bCs/>
          <w:noProof w:val="0"/>
          <w:szCs w:val="24"/>
          <w:rtl/>
          <w:lang w:eastAsia="en-US"/>
        </w:rPr>
      </w:pPr>
      <w:r w:rsidRPr="00862796">
        <w:rPr>
          <w:rFonts w:cs="David" w:hint="cs"/>
          <w:b/>
          <w:bCs/>
          <w:noProof w:val="0"/>
          <w:szCs w:val="24"/>
          <w:rtl/>
          <w:lang w:eastAsia="en-US"/>
        </w:rPr>
        <w:t>בית הדין דחה את התביעה שכנגד וחייב את המעסיק לשלם לתובעת פיצויים בגין חוסר תום לב בסך 10,000₪, ושכר טרחת עו"ד והוצאות משפט.</w:t>
      </w:r>
    </w:p>
    <w:p w:rsidR="000118BE"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b/>
          <w:bCs/>
          <w:noProof w:val="0"/>
          <w:sz w:val="22"/>
          <w:szCs w:val="22"/>
          <w:rtl/>
          <w:lang w:eastAsia="en-US"/>
        </w:rPr>
      </w:pPr>
      <w:r w:rsidRPr="00862796">
        <w:rPr>
          <w:rFonts w:cs="David"/>
          <w:color w:val="000000"/>
          <w:sz w:val="22"/>
          <w:szCs w:val="22"/>
          <w:rtl/>
        </w:rPr>
        <w:t>סע (חי') 41297-01-11</w:t>
      </w:r>
      <w:r w:rsidRPr="00862796">
        <w:rPr>
          <w:rFonts w:cs="David" w:hint="cs"/>
          <w:sz w:val="22"/>
          <w:szCs w:val="22"/>
          <w:rtl/>
        </w:rPr>
        <w:t xml:space="preserve"> </w:t>
      </w:r>
      <w:r w:rsidRPr="00862796">
        <w:rPr>
          <w:rFonts w:cs="David"/>
          <w:color w:val="FF0000"/>
          <w:sz w:val="22"/>
          <w:szCs w:val="22"/>
        </w:rPr>
        <w:t>●</w:t>
      </w:r>
      <w:r w:rsidRPr="00862796">
        <w:rPr>
          <w:rFonts w:cs="David" w:hint="cs"/>
          <w:b/>
          <w:bCs/>
          <w:sz w:val="22"/>
          <w:szCs w:val="22"/>
          <w:rtl/>
        </w:rPr>
        <w:t xml:space="preserve"> </w:t>
      </w:r>
      <w:r w:rsidRPr="00014E5E">
        <w:rPr>
          <w:rFonts w:cs="David" w:hint="cs"/>
          <w:b/>
          <w:bCs/>
          <w:color w:val="FF0000"/>
          <w:sz w:val="22"/>
          <w:szCs w:val="22"/>
          <w:rtl/>
        </w:rPr>
        <w:t>שחר המאירי - עו"ד אמיר גאנם</w:t>
      </w:r>
      <w:r w:rsidRPr="00014E5E">
        <w:rPr>
          <w:rFonts w:cs="David" w:hint="cs"/>
          <w:color w:val="FF0000"/>
          <w:sz w:val="22"/>
          <w:szCs w:val="22"/>
          <w:rtl/>
        </w:rPr>
        <w:t xml:space="preserve">  </w:t>
      </w:r>
      <w:r w:rsidRPr="00862796">
        <w:rPr>
          <w:rFonts w:cs="David" w:hint="cs"/>
          <w:sz w:val="22"/>
          <w:szCs w:val="22"/>
          <w:rtl/>
        </w:rPr>
        <w:t xml:space="preserve">(31.7.13) </w:t>
      </w:r>
      <w:r w:rsidRPr="00862796">
        <w:rPr>
          <w:rFonts w:cs="David"/>
          <w:sz w:val="22"/>
          <w:szCs w:val="22"/>
        </w:rPr>
        <w:t xml:space="preserve"> </w:t>
      </w:r>
      <w:r w:rsidRPr="00862796">
        <w:rPr>
          <w:rFonts w:cs="David"/>
          <w:color w:val="FF0000"/>
          <w:sz w:val="22"/>
          <w:szCs w:val="22"/>
        </w:rPr>
        <w:t>●</w:t>
      </w:r>
      <w:r w:rsidRPr="00862796">
        <w:rPr>
          <w:rFonts w:cs="David" w:hint="cs"/>
          <w:sz w:val="22"/>
          <w:szCs w:val="22"/>
          <w:rtl/>
        </w:rPr>
        <w:t>בפני כבוד השופטת מיכל פריימן, נ.ע. מר יעקב בן הר, נ.מ. גב' נעמי ברזילי</w:t>
      </w:r>
    </w:p>
    <w:p w:rsidR="008963E6" w:rsidRDefault="008963E6" w:rsidP="00DC1DBF">
      <w:pPr>
        <w:pStyle w:val="P00"/>
        <w:tabs>
          <w:tab w:val="clear" w:pos="624"/>
          <w:tab w:val="clear" w:pos="1021"/>
          <w:tab w:val="clear" w:pos="1474"/>
          <w:tab w:val="clear" w:pos="1928"/>
          <w:tab w:val="clear" w:pos="2381"/>
          <w:tab w:val="clear" w:pos="2835"/>
          <w:tab w:val="clear" w:pos="6259"/>
          <w:tab w:val="right" w:leader="dot" w:pos="8283"/>
        </w:tabs>
        <w:spacing w:before="0"/>
        <w:ind w:left="44"/>
        <w:rPr>
          <w:rFonts w:cs="David"/>
          <w:b/>
          <w:bCs/>
          <w:noProof w:val="0"/>
          <w:sz w:val="22"/>
          <w:szCs w:val="22"/>
          <w:rtl/>
          <w:lang w:eastAsia="en-US"/>
        </w:rPr>
      </w:pPr>
    </w:p>
    <w:p w:rsidR="000118BE" w:rsidRPr="00BD3500" w:rsidRDefault="000118BE" w:rsidP="00A8553B">
      <w:pPr>
        <w:numPr>
          <w:ilvl w:val="0"/>
          <w:numId w:val="13"/>
        </w:numPr>
        <w:tabs>
          <w:tab w:val="clear" w:pos="258"/>
          <w:tab w:val="left" w:pos="90"/>
          <w:tab w:val="num" w:pos="647"/>
          <w:tab w:val="right" w:pos="8311"/>
        </w:tabs>
        <w:bidi/>
        <w:spacing w:line="360" w:lineRule="auto"/>
        <w:ind w:left="647" w:hanging="423"/>
        <w:jc w:val="both"/>
        <w:rPr>
          <w:rFonts w:ascii="Arial" w:hAnsi="Arial"/>
          <w:b/>
          <w:bCs/>
          <w:color w:val="0000FF"/>
          <w:sz w:val="24"/>
          <w:u w:val="single"/>
          <w:rtl/>
        </w:rPr>
      </w:pPr>
      <w:r w:rsidRPr="00BD3500">
        <w:rPr>
          <w:rFonts w:ascii="Arial" w:hAnsi="Arial" w:hint="cs"/>
          <w:b/>
          <w:bCs/>
          <w:color w:val="0000FF"/>
          <w:sz w:val="24"/>
          <w:u w:val="single"/>
          <w:rtl/>
        </w:rPr>
        <w:t>פיצוי בסך כ-70,000 ₪ לעובדת מהבית שהתפטרה עקב הרעת תנאים מוחשית בגין דרישת התייצבות יומית חדשה במפעל</w:t>
      </w:r>
    </w:p>
    <w:p w:rsidR="000118BE" w:rsidRPr="004F3E52" w:rsidRDefault="000118BE" w:rsidP="00DC1DBF">
      <w:pPr>
        <w:tabs>
          <w:tab w:val="left" w:pos="90"/>
        </w:tabs>
        <w:bidi/>
        <w:jc w:val="both"/>
        <w:rPr>
          <w:rFonts w:ascii="Arial" w:hAnsi="Arial"/>
          <w:b/>
          <w:bCs/>
          <w:color w:val="008000"/>
          <w:sz w:val="24"/>
          <w:u w:val="single"/>
          <w:rtl/>
        </w:rPr>
      </w:pPr>
    </w:p>
    <w:p w:rsidR="000118BE" w:rsidRDefault="000118BE" w:rsidP="006C2B3A">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color w:val="FFFFFF"/>
          <w:sz w:val="22"/>
          <w:szCs w:val="22"/>
          <w:rtl/>
        </w:rPr>
      </w:pPr>
      <w:r w:rsidRPr="00586502">
        <w:rPr>
          <w:rFonts w:cs="David"/>
          <w:b/>
          <w:bCs/>
          <w:noProof w:val="0"/>
          <w:szCs w:val="24"/>
          <w:rtl/>
          <w:lang w:eastAsia="en-US"/>
        </w:rPr>
        <w:t>בית הדין לעבודה קיבל את תביעתה של עיתונאית במקומון "שבשבת</w:t>
      </w:r>
      <w:r w:rsidRPr="00586502">
        <w:rPr>
          <w:rFonts w:cs="David" w:hint="cs"/>
          <w:b/>
          <w:bCs/>
          <w:noProof w:val="0"/>
          <w:szCs w:val="24"/>
          <w:rtl/>
          <w:lang w:eastAsia="en-US"/>
        </w:rPr>
        <w:t>", לאחר ש</w:t>
      </w:r>
      <w:r w:rsidRPr="00586502">
        <w:rPr>
          <w:rFonts w:cs="David"/>
          <w:b/>
          <w:bCs/>
          <w:noProof w:val="0"/>
          <w:szCs w:val="24"/>
          <w:rtl/>
          <w:lang w:eastAsia="en-US"/>
        </w:rPr>
        <w:t>עבדה מביתה</w:t>
      </w:r>
      <w:r w:rsidRPr="00586502">
        <w:rPr>
          <w:rFonts w:cs="David" w:hint="cs"/>
          <w:b/>
          <w:bCs/>
          <w:noProof w:val="0"/>
          <w:szCs w:val="24"/>
          <w:rtl/>
          <w:lang w:eastAsia="en-US"/>
        </w:rPr>
        <w:t xml:space="preserve"> במשך 6 שנים ונדרשה </w:t>
      </w:r>
      <w:r w:rsidRPr="00586502">
        <w:rPr>
          <w:rFonts w:cs="David"/>
          <w:b/>
          <w:bCs/>
          <w:noProof w:val="0"/>
          <w:szCs w:val="24"/>
          <w:rtl/>
          <w:lang w:eastAsia="en-US"/>
        </w:rPr>
        <w:t>להתייצב מידי יום במערכת</w:t>
      </w:r>
      <w:r w:rsidRPr="00586502">
        <w:rPr>
          <w:rFonts w:cs="David" w:hint="cs"/>
          <w:b/>
          <w:bCs/>
          <w:noProof w:val="0"/>
          <w:szCs w:val="24"/>
          <w:rtl/>
          <w:lang w:eastAsia="en-US"/>
        </w:rPr>
        <w:t>. בית הדין פסק, כי התובעת התפטרה בדין מפוטרת, מאחר שהדרישה החדשה מהווה הרעת תנאים מוחשית ולכן היא זכאית לפיצויי פיטורים. על אף ש</w:t>
      </w:r>
      <w:r w:rsidRPr="00586502">
        <w:rPr>
          <w:rFonts w:cs="David"/>
          <w:b/>
          <w:bCs/>
          <w:noProof w:val="0"/>
          <w:szCs w:val="24"/>
          <w:rtl/>
          <w:lang w:eastAsia="en-US"/>
        </w:rPr>
        <w:t xml:space="preserve">נערכה שיחת שימוע לתובעת, היא המשיכה לעבוד </w:t>
      </w:r>
      <w:r w:rsidRPr="00586502">
        <w:rPr>
          <w:rFonts w:cs="David" w:hint="cs"/>
          <w:b/>
          <w:bCs/>
          <w:noProof w:val="0"/>
          <w:szCs w:val="24"/>
          <w:rtl/>
          <w:lang w:eastAsia="en-US"/>
        </w:rPr>
        <w:t>במקומון</w:t>
      </w:r>
      <w:r w:rsidRPr="00586502">
        <w:rPr>
          <w:rFonts w:cs="David"/>
          <w:b/>
          <w:bCs/>
          <w:noProof w:val="0"/>
          <w:szCs w:val="24"/>
          <w:rtl/>
          <w:lang w:eastAsia="en-US"/>
        </w:rPr>
        <w:t>, כך שלשימוע אין כל נפקות משפטית</w:t>
      </w:r>
      <w:r w:rsidRPr="00586502">
        <w:rPr>
          <w:rFonts w:cs="David" w:hint="cs"/>
          <w:b/>
          <w:bCs/>
          <w:noProof w:val="0"/>
          <w:szCs w:val="24"/>
          <w:rtl/>
          <w:lang w:eastAsia="en-US"/>
        </w:rPr>
        <w:t xml:space="preserve">. בית הדין פסק לעובדת </w:t>
      </w:r>
      <w:r w:rsidRPr="00586502">
        <w:rPr>
          <w:rFonts w:cs="David"/>
          <w:b/>
          <w:bCs/>
          <w:noProof w:val="0"/>
          <w:szCs w:val="24"/>
          <w:rtl/>
          <w:lang w:eastAsia="en-US"/>
        </w:rPr>
        <w:t>פיצויי</w:t>
      </w:r>
      <w:r w:rsidRPr="00586502">
        <w:rPr>
          <w:rFonts w:cs="David" w:hint="cs"/>
          <w:b/>
          <w:bCs/>
          <w:noProof w:val="0"/>
          <w:szCs w:val="24"/>
          <w:rtl/>
          <w:lang w:eastAsia="en-US"/>
        </w:rPr>
        <w:t xml:space="preserve">ם, תשלומים שונים והוצאות משפט בסך כולל של כ- 70,000₪. </w:t>
      </w:r>
    </w:p>
    <w:p w:rsidR="000118BE"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b/>
          <w:bCs/>
          <w:noProof w:val="0"/>
          <w:sz w:val="22"/>
          <w:szCs w:val="22"/>
          <w:rtl/>
          <w:lang w:eastAsia="en-US"/>
        </w:rPr>
      </w:pPr>
      <w:r w:rsidRPr="00586502">
        <w:rPr>
          <w:rFonts w:cs="David" w:hint="cs"/>
          <w:sz w:val="22"/>
          <w:szCs w:val="22"/>
          <w:rtl/>
        </w:rPr>
        <w:t>סע (ת"א)</w:t>
      </w:r>
      <w:r w:rsidRPr="00586502">
        <w:rPr>
          <w:rFonts w:cs="David"/>
          <w:sz w:val="22"/>
          <w:szCs w:val="22"/>
          <w:rtl/>
        </w:rPr>
        <w:t xml:space="preserve"> </w:t>
      </w:r>
      <w:r w:rsidRPr="00586502">
        <w:rPr>
          <w:rFonts w:cs="David" w:hint="cs"/>
          <w:sz w:val="22"/>
          <w:szCs w:val="22"/>
          <w:rtl/>
        </w:rPr>
        <w:t xml:space="preserve">58570-03-11 </w:t>
      </w:r>
      <w:r w:rsidRPr="00586502">
        <w:rPr>
          <w:rFonts w:cs="David"/>
          <w:color w:val="FF0000"/>
          <w:sz w:val="22"/>
          <w:szCs w:val="22"/>
        </w:rPr>
        <w:t>●</w:t>
      </w:r>
      <w:r w:rsidRPr="00586502">
        <w:rPr>
          <w:rFonts w:cs="David" w:hint="cs"/>
          <w:b/>
          <w:bCs/>
          <w:sz w:val="22"/>
          <w:szCs w:val="22"/>
          <w:rtl/>
        </w:rPr>
        <w:t xml:space="preserve"> </w:t>
      </w:r>
      <w:r w:rsidRPr="00014E5E">
        <w:rPr>
          <w:rFonts w:cs="David" w:hint="cs"/>
          <w:b/>
          <w:bCs/>
          <w:color w:val="FF0000"/>
          <w:sz w:val="22"/>
          <w:szCs w:val="22"/>
          <w:rtl/>
        </w:rPr>
        <w:t>חדווה גבאי - שבשבת עיתונות בע"מ</w:t>
      </w:r>
      <w:r w:rsidRPr="00014E5E">
        <w:rPr>
          <w:rFonts w:cs="David" w:hint="cs"/>
          <w:color w:val="FF0000"/>
          <w:sz w:val="22"/>
          <w:szCs w:val="22"/>
          <w:rtl/>
        </w:rPr>
        <w:t xml:space="preserve">  </w:t>
      </w:r>
      <w:r w:rsidRPr="00586502">
        <w:rPr>
          <w:rFonts w:cs="David" w:hint="cs"/>
          <w:sz w:val="22"/>
          <w:szCs w:val="22"/>
          <w:rtl/>
        </w:rPr>
        <w:t xml:space="preserve">(3.8.13) </w:t>
      </w:r>
      <w:r w:rsidRPr="00586502">
        <w:rPr>
          <w:rFonts w:cs="David"/>
          <w:sz w:val="22"/>
          <w:szCs w:val="22"/>
        </w:rPr>
        <w:t xml:space="preserve"> </w:t>
      </w:r>
      <w:r w:rsidRPr="00586502">
        <w:rPr>
          <w:rFonts w:cs="David"/>
          <w:color w:val="FF0000"/>
          <w:sz w:val="22"/>
          <w:szCs w:val="22"/>
        </w:rPr>
        <w:t>●</w:t>
      </w:r>
      <w:r w:rsidRPr="00586502">
        <w:rPr>
          <w:rFonts w:cs="David" w:hint="cs"/>
          <w:sz w:val="22"/>
          <w:szCs w:val="22"/>
          <w:rtl/>
        </w:rPr>
        <w:t>בפני כבוד השופטת ד"ר אריאלה גילצר-כץ, נ.מ. גב' הדסה שליסל, נ.ע. גב' חנה קפלניקוב</w:t>
      </w:r>
    </w:p>
    <w:p w:rsidR="000118BE"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b/>
          <w:bCs/>
          <w:noProof w:val="0"/>
          <w:sz w:val="22"/>
          <w:szCs w:val="22"/>
          <w:rtl/>
          <w:lang w:eastAsia="en-US"/>
        </w:rPr>
      </w:pPr>
    </w:p>
    <w:p w:rsidR="000118BE" w:rsidRPr="00BD3500" w:rsidRDefault="000118BE" w:rsidP="00A8553B">
      <w:pPr>
        <w:numPr>
          <w:ilvl w:val="0"/>
          <w:numId w:val="13"/>
        </w:numPr>
        <w:tabs>
          <w:tab w:val="clear" w:pos="258"/>
          <w:tab w:val="left" w:pos="90"/>
          <w:tab w:val="num" w:pos="647"/>
          <w:tab w:val="right" w:pos="8311"/>
        </w:tabs>
        <w:bidi/>
        <w:spacing w:line="360" w:lineRule="auto"/>
        <w:ind w:left="647" w:hanging="423"/>
        <w:jc w:val="both"/>
        <w:rPr>
          <w:rFonts w:ascii="Arial" w:hAnsi="Arial"/>
          <w:b/>
          <w:bCs/>
          <w:color w:val="0000FF"/>
          <w:sz w:val="24"/>
          <w:u w:val="single"/>
          <w:rtl/>
        </w:rPr>
      </w:pPr>
      <w:r w:rsidRPr="00BD3500">
        <w:rPr>
          <w:rFonts w:ascii="Arial" w:hAnsi="Arial" w:hint="cs"/>
          <w:b/>
          <w:bCs/>
          <w:color w:val="0000FF"/>
          <w:sz w:val="24"/>
          <w:u w:val="single"/>
          <w:rtl/>
        </w:rPr>
        <w:t>התפטרות עובד שהמתין כשנה ממועד הרעת תנאי עבודתו ועד למועד התפטרותו, לא תחשב כהתפטרות בדין מפוטר</w:t>
      </w:r>
    </w:p>
    <w:p w:rsidR="000118BE" w:rsidRPr="004F3E52" w:rsidRDefault="000118BE" w:rsidP="00DC1DBF">
      <w:pPr>
        <w:tabs>
          <w:tab w:val="left" w:pos="90"/>
        </w:tabs>
        <w:bidi/>
        <w:jc w:val="both"/>
        <w:rPr>
          <w:rFonts w:ascii="Arial" w:hAnsi="Arial"/>
          <w:b/>
          <w:bCs/>
          <w:color w:val="008000"/>
          <w:sz w:val="24"/>
          <w:u w:val="single"/>
          <w:rtl/>
        </w:rPr>
      </w:pPr>
    </w:p>
    <w:p w:rsidR="000118BE" w:rsidRPr="00BD5223"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b/>
          <w:bCs/>
          <w:noProof w:val="0"/>
          <w:szCs w:val="24"/>
          <w:rtl/>
          <w:lang w:eastAsia="en-US"/>
        </w:rPr>
      </w:pPr>
      <w:r w:rsidRPr="00BD5223">
        <w:rPr>
          <w:rFonts w:cs="David" w:hint="cs"/>
          <w:b/>
          <w:bCs/>
          <w:noProof w:val="0"/>
          <w:szCs w:val="24"/>
          <w:rtl/>
          <w:lang w:eastAsia="en-US"/>
        </w:rPr>
        <w:t>בית-הדין האזורי לעבודה דחה בחלקה תביעה של עובד לתשלום פיצויי פיטורים, השבת כספי פיצויי פיטורים שהמעביד משך מקופת הגמל, תשלום בגין עבודה בשעות נוספות וכן תשלומים נוספים. לעניין תביעת העובד לתשלום פיצויי פיטורים למתפטרים מכוח נוהג, בית-הדין קבע כי העובד לא הצליח להוכיח שלכל</w:t>
      </w:r>
      <w:r w:rsidRPr="00BD5223">
        <w:rPr>
          <w:rFonts w:cs="David"/>
          <w:b/>
          <w:bCs/>
          <w:noProof w:val="0"/>
          <w:szCs w:val="24"/>
          <w:rtl/>
          <w:lang w:eastAsia="en-US"/>
        </w:rPr>
        <w:t xml:space="preserve"> העובדים בוותקו ובמעמדו שהתפטרו מעבודתם, ואשר חוזה העבודה שלהם לא כלל התחייבות לתשלום פיצויי פיטורים</w:t>
      </w:r>
      <w:r w:rsidRPr="00BD5223">
        <w:rPr>
          <w:rFonts w:cs="David" w:hint="cs"/>
          <w:b/>
          <w:bCs/>
          <w:noProof w:val="0"/>
          <w:szCs w:val="24"/>
          <w:rtl/>
          <w:lang w:eastAsia="en-US"/>
        </w:rPr>
        <w:t>,</w:t>
      </w:r>
      <w:r w:rsidRPr="00BD5223">
        <w:rPr>
          <w:rFonts w:cs="David"/>
          <w:b/>
          <w:bCs/>
          <w:noProof w:val="0"/>
          <w:szCs w:val="24"/>
          <w:rtl/>
          <w:lang w:eastAsia="en-US"/>
        </w:rPr>
        <w:t xml:space="preserve"> אכן שולמו פיצויי פיטורים.</w:t>
      </w:r>
      <w:r w:rsidRPr="00BD5223">
        <w:rPr>
          <w:rFonts w:cs="David" w:hint="cs"/>
          <w:b/>
          <w:bCs/>
          <w:noProof w:val="0"/>
          <w:szCs w:val="24"/>
          <w:rtl/>
          <w:lang w:eastAsia="en-US"/>
        </w:rPr>
        <w:t xml:space="preserve"> בית-הדין קבע שמתוך חברה של 250 עובדים, העובדה שהעובד ניסה להציג קבוצת השוואה של 9 עובדים בלבד, אינה מספיקה לביסוס טענת נוהג, מה גם שחלק מהעובדים הללו היו חתומים על סעיף 14.  לעניין תביעת העובד לתשלום פיצויי פיטורים בטענה כי התפטר בדין מפוטר בשל הרעת תנאים כשנה לפני התפטרותו, בית-הדין קבע כי ע</w:t>
      </w:r>
      <w:r w:rsidRPr="00BD5223">
        <w:rPr>
          <w:rFonts w:cs="David"/>
          <w:b/>
          <w:bCs/>
          <w:noProof w:val="0"/>
          <w:szCs w:val="24"/>
          <w:rtl/>
          <w:lang w:eastAsia="en-US"/>
        </w:rPr>
        <w:t>צם העובדה שה</w:t>
      </w:r>
      <w:r w:rsidRPr="00BD5223">
        <w:rPr>
          <w:rFonts w:cs="David" w:hint="cs"/>
          <w:b/>
          <w:bCs/>
          <w:noProof w:val="0"/>
          <w:szCs w:val="24"/>
          <w:rtl/>
          <w:lang w:eastAsia="en-US"/>
        </w:rPr>
        <w:t>עובד</w:t>
      </w:r>
      <w:r w:rsidRPr="00BD5223">
        <w:rPr>
          <w:rFonts w:cs="David"/>
          <w:b/>
          <w:bCs/>
          <w:noProof w:val="0"/>
          <w:szCs w:val="24"/>
          <w:rtl/>
          <w:lang w:eastAsia="en-US"/>
        </w:rPr>
        <w:t xml:space="preserve"> התפטר לאחר שמצא מקום עבודה חלופי, אינה שוללת כשלעצמה טענת התפטרות בדין מפוטר, </w:t>
      </w:r>
      <w:r w:rsidRPr="00BD5223">
        <w:rPr>
          <w:rFonts w:cs="David" w:hint="cs"/>
          <w:b/>
          <w:bCs/>
          <w:noProof w:val="0"/>
          <w:szCs w:val="24"/>
          <w:rtl/>
          <w:lang w:eastAsia="en-US"/>
        </w:rPr>
        <w:t>כי</w:t>
      </w:r>
      <w:r w:rsidRPr="00BD5223">
        <w:rPr>
          <w:rFonts w:cs="David"/>
          <w:b/>
          <w:bCs/>
          <w:noProof w:val="0"/>
          <w:szCs w:val="24"/>
          <w:rtl/>
          <w:lang w:eastAsia="en-US"/>
        </w:rPr>
        <w:t xml:space="preserve"> לא מצופה מהעובד כי יישאר "קרח מכאן ומכאן". </w:t>
      </w:r>
      <w:r w:rsidRPr="00BD5223">
        <w:rPr>
          <w:rFonts w:cs="David" w:hint="cs"/>
          <w:b/>
          <w:bCs/>
          <w:noProof w:val="0"/>
          <w:szCs w:val="24"/>
          <w:rtl/>
          <w:lang w:eastAsia="en-US"/>
        </w:rPr>
        <w:t>עם זאת נקבע כי העובד</w:t>
      </w:r>
      <w:r w:rsidRPr="00BD5223">
        <w:rPr>
          <w:rFonts w:cs="David"/>
          <w:b/>
          <w:bCs/>
          <w:noProof w:val="0"/>
          <w:szCs w:val="24"/>
          <w:rtl/>
          <w:lang w:eastAsia="en-US"/>
        </w:rPr>
        <w:t xml:space="preserve"> המתין כשנה עד להתפטרותו והעיד שהיה ממתין עוד אילו היה צורך בכך</w:t>
      </w:r>
      <w:r w:rsidRPr="00BD5223">
        <w:rPr>
          <w:rFonts w:cs="David" w:hint="cs"/>
          <w:b/>
          <w:bCs/>
          <w:noProof w:val="0"/>
          <w:szCs w:val="24"/>
          <w:rtl/>
          <w:lang w:eastAsia="en-US"/>
        </w:rPr>
        <w:t>.</w:t>
      </w:r>
      <w:r w:rsidRPr="00BD5223">
        <w:rPr>
          <w:rFonts w:cs="David"/>
          <w:b/>
          <w:bCs/>
          <w:noProof w:val="0"/>
          <w:szCs w:val="24"/>
          <w:rtl/>
          <w:lang w:eastAsia="en-US"/>
        </w:rPr>
        <w:t xml:space="preserve"> </w:t>
      </w:r>
      <w:r w:rsidRPr="00BD5223">
        <w:rPr>
          <w:rFonts w:cs="David" w:hint="cs"/>
          <w:b/>
          <w:bCs/>
          <w:noProof w:val="0"/>
          <w:szCs w:val="24"/>
          <w:rtl/>
          <w:lang w:eastAsia="en-US"/>
        </w:rPr>
        <w:t>לכן,</w:t>
      </w:r>
      <w:r w:rsidRPr="00BD5223">
        <w:rPr>
          <w:rFonts w:cs="David"/>
          <w:b/>
          <w:bCs/>
          <w:noProof w:val="0"/>
          <w:szCs w:val="24"/>
          <w:rtl/>
          <w:lang w:eastAsia="en-US"/>
        </w:rPr>
        <w:t xml:space="preserve"> יש בכך לנתק את הקשר בין התפטרות ה</w:t>
      </w:r>
      <w:r w:rsidRPr="00BD5223">
        <w:rPr>
          <w:rFonts w:cs="David" w:hint="cs"/>
          <w:b/>
          <w:bCs/>
          <w:noProof w:val="0"/>
          <w:szCs w:val="24"/>
          <w:rtl/>
          <w:lang w:eastAsia="en-US"/>
        </w:rPr>
        <w:t>עובד</w:t>
      </w:r>
      <w:r w:rsidRPr="00BD5223">
        <w:rPr>
          <w:rFonts w:cs="David"/>
          <w:b/>
          <w:bCs/>
          <w:noProof w:val="0"/>
          <w:szCs w:val="24"/>
          <w:rtl/>
          <w:lang w:eastAsia="en-US"/>
        </w:rPr>
        <w:t xml:space="preserve"> לבין הטענה להרעת תנאים. </w:t>
      </w:r>
      <w:r w:rsidRPr="00BD5223">
        <w:rPr>
          <w:rFonts w:cs="David" w:hint="cs"/>
          <w:b/>
          <w:bCs/>
          <w:noProof w:val="0"/>
          <w:szCs w:val="24"/>
          <w:rtl/>
          <w:lang w:eastAsia="en-US"/>
        </w:rPr>
        <w:t>כן נקבע כי עיכוב</w:t>
      </w:r>
      <w:r w:rsidRPr="00BD5223">
        <w:rPr>
          <w:rFonts w:cs="David"/>
          <w:b/>
          <w:bCs/>
          <w:noProof w:val="0"/>
          <w:szCs w:val="24"/>
          <w:rtl/>
          <w:lang w:eastAsia="en-US"/>
        </w:rPr>
        <w:t xml:space="preserve"> ארוך ובלתי סביר מצביע על השלמת העובד עם תנאי העבודה החדשים.</w:t>
      </w:r>
      <w:r w:rsidRPr="00BD5223">
        <w:rPr>
          <w:rFonts w:cs="David" w:hint="cs"/>
          <w:b/>
          <w:bCs/>
          <w:noProof w:val="0"/>
          <w:szCs w:val="24"/>
          <w:rtl/>
          <w:lang w:eastAsia="en-US"/>
        </w:rPr>
        <w:t xml:space="preserve"> לעניין תביעת העובד להשבת כספי פיצויי הפיטורים שהמעביד משך מקופת הגמל, בית-הדין קבע כי על-פי הסכם העבודה מדובר בכספים אשר שייכים למעביד </w:t>
      </w:r>
      <w:r w:rsidRPr="00BD5223">
        <w:rPr>
          <w:rFonts w:cs="David"/>
          <w:b/>
          <w:bCs/>
          <w:noProof w:val="0"/>
          <w:szCs w:val="24"/>
          <w:rtl/>
          <w:lang w:eastAsia="en-US"/>
        </w:rPr>
        <w:t xml:space="preserve">ויינתנו לעובד רק על סמך זכאותו </w:t>
      </w:r>
      <w:r w:rsidRPr="00BD5223">
        <w:rPr>
          <w:rFonts w:cs="David" w:hint="cs"/>
          <w:b/>
          <w:bCs/>
          <w:noProof w:val="0"/>
          <w:szCs w:val="24"/>
          <w:rtl/>
          <w:lang w:eastAsia="en-US"/>
        </w:rPr>
        <w:t xml:space="preserve">לפיצויים </w:t>
      </w:r>
      <w:r w:rsidRPr="00BD5223">
        <w:rPr>
          <w:rFonts w:cs="David"/>
          <w:b/>
          <w:bCs/>
          <w:noProof w:val="0"/>
          <w:szCs w:val="24"/>
          <w:rtl/>
          <w:lang w:eastAsia="en-US"/>
        </w:rPr>
        <w:t xml:space="preserve">על פי חוק. </w:t>
      </w:r>
      <w:r w:rsidRPr="00BD5223">
        <w:rPr>
          <w:rFonts w:cs="David" w:hint="cs"/>
          <w:b/>
          <w:bCs/>
          <w:noProof w:val="0"/>
          <w:szCs w:val="24"/>
          <w:rtl/>
          <w:lang w:eastAsia="en-US"/>
        </w:rPr>
        <w:t xml:space="preserve">תביעת העובד לתשלום בגין עבודה בשעות נוספות התקבלה ובית-הדין קבע כי על אף שהסכם העבודה מחריג את </w:t>
      </w:r>
      <w:r w:rsidRPr="00BD5223">
        <w:rPr>
          <w:rFonts w:cs="David" w:hint="cs"/>
          <w:b/>
          <w:bCs/>
          <w:noProof w:val="0"/>
          <w:szCs w:val="24"/>
          <w:rtl/>
          <w:lang w:eastAsia="en-US"/>
        </w:rPr>
        <w:lastRenderedPageBreak/>
        <w:t xml:space="preserve">תחולת חוק שעות עבודה ומנוחה על העובד, בפועל ניתן היה לפקח על עבודתו של העובד ולכן חוק שעות עבודה ומנוחה חל והעובד זכאי לתשלום עבודה בשעות נוספות. בית-הדין קבע כי המעביד יחויב בתשלום בגין עבודה בשעות נוספות בסך של 102,574 ₪ ומאחר שלעובד נפסקו רק מחצית מהסכומים שנתבעו על-ידו, כל צד ישא בהוצאותיו. </w:t>
      </w:r>
      <w:r w:rsidRPr="00BD5223">
        <w:rPr>
          <w:rFonts w:cs="David"/>
          <w:b/>
          <w:bCs/>
          <w:noProof w:val="0"/>
          <w:szCs w:val="24"/>
          <w:rtl/>
          <w:lang w:eastAsia="en-US"/>
        </w:rPr>
        <w:t xml:space="preserve"> </w:t>
      </w:r>
    </w:p>
    <w:p w:rsidR="000118BE"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b/>
          <w:bCs/>
          <w:noProof w:val="0"/>
          <w:sz w:val="22"/>
          <w:szCs w:val="22"/>
          <w:rtl/>
          <w:lang w:eastAsia="en-US"/>
        </w:rPr>
      </w:pPr>
      <w:r w:rsidRPr="00BD5223">
        <w:rPr>
          <w:rFonts w:ascii="David" w:hAnsi="David" w:cs="David"/>
          <w:color w:val="000000"/>
          <w:sz w:val="22"/>
          <w:szCs w:val="22"/>
          <w:rtl/>
        </w:rPr>
        <w:t>סע (ת"א) 22978-06-10</w:t>
      </w:r>
      <w:r w:rsidRPr="00BD5223">
        <w:rPr>
          <w:rFonts w:cs="David"/>
          <w:color w:val="FF0000"/>
          <w:sz w:val="22"/>
          <w:szCs w:val="22"/>
        </w:rPr>
        <w:t xml:space="preserve">● </w:t>
      </w:r>
      <w:r w:rsidRPr="00BD5223">
        <w:rPr>
          <w:rFonts w:cs="David" w:hint="cs"/>
          <w:color w:val="2B003A"/>
          <w:sz w:val="22"/>
          <w:szCs w:val="22"/>
          <w:rtl/>
        </w:rPr>
        <w:t xml:space="preserve"> </w:t>
      </w:r>
      <w:r w:rsidRPr="00014E5E">
        <w:rPr>
          <w:rFonts w:ascii="David" w:hAnsi="David" w:cs="David"/>
          <w:b/>
          <w:bCs/>
          <w:color w:val="FF0000"/>
          <w:sz w:val="22"/>
          <w:szCs w:val="22"/>
          <w:rtl/>
        </w:rPr>
        <w:t>יתיר זלוסקי נ' אדוונטק טכנולוגיות (אפלט) בע"מ</w:t>
      </w:r>
      <w:r w:rsidRPr="00014E5E">
        <w:rPr>
          <w:rFonts w:ascii="David" w:hAnsi="David" w:cs="David" w:hint="cs"/>
          <w:b/>
          <w:bCs/>
          <w:color w:val="FF0000"/>
          <w:sz w:val="22"/>
          <w:szCs w:val="22"/>
          <w:rtl/>
        </w:rPr>
        <w:t xml:space="preserve"> </w:t>
      </w:r>
      <w:r w:rsidRPr="00BD5223">
        <w:rPr>
          <w:rFonts w:ascii="David" w:hAnsi="David" w:cs="David" w:hint="cs"/>
          <w:color w:val="000000"/>
          <w:sz w:val="22"/>
          <w:szCs w:val="22"/>
          <w:rtl/>
        </w:rPr>
        <w:t>(22.6.13</w:t>
      </w:r>
      <w:r w:rsidRPr="00BD5223">
        <w:rPr>
          <w:rFonts w:cs="David" w:hint="cs"/>
          <w:color w:val="2B003A"/>
          <w:sz w:val="22"/>
          <w:szCs w:val="22"/>
          <w:rtl/>
        </w:rPr>
        <w:t xml:space="preserve">) </w:t>
      </w:r>
      <w:r w:rsidRPr="00BD5223">
        <w:rPr>
          <w:rFonts w:cs="David"/>
          <w:color w:val="FF0000"/>
          <w:sz w:val="22"/>
          <w:szCs w:val="22"/>
        </w:rPr>
        <w:t>●</w:t>
      </w:r>
      <w:r w:rsidRPr="00BD5223">
        <w:rPr>
          <w:rFonts w:cs="David" w:hint="cs"/>
          <w:color w:val="2B003A"/>
          <w:sz w:val="22"/>
          <w:szCs w:val="22"/>
          <w:rtl/>
        </w:rPr>
        <w:t xml:space="preserve"> </w:t>
      </w:r>
      <w:r w:rsidRPr="00BD5223">
        <w:rPr>
          <w:rFonts w:ascii="David" w:hAnsi="David" w:cs="David" w:hint="cs"/>
          <w:color w:val="000000"/>
          <w:sz w:val="22"/>
          <w:szCs w:val="22"/>
          <w:rtl/>
        </w:rPr>
        <w:t>בפני כבוד השופטת דגית ויסמן</w:t>
      </w:r>
    </w:p>
    <w:p w:rsidR="000118BE" w:rsidRPr="00BD3500"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b/>
          <w:bCs/>
          <w:noProof w:val="0"/>
          <w:color w:val="0000FF"/>
          <w:sz w:val="22"/>
          <w:szCs w:val="22"/>
          <w:rtl/>
          <w:lang w:eastAsia="en-US"/>
        </w:rPr>
      </w:pPr>
    </w:p>
    <w:p w:rsidR="000118BE" w:rsidRPr="00BD3500" w:rsidRDefault="000118BE" w:rsidP="00A8553B">
      <w:pPr>
        <w:numPr>
          <w:ilvl w:val="0"/>
          <w:numId w:val="13"/>
        </w:numPr>
        <w:tabs>
          <w:tab w:val="clear" w:pos="258"/>
          <w:tab w:val="left" w:pos="90"/>
          <w:tab w:val="num" w:pos="647"/>
          <w:tab w:val="right" w:pos="8311"/>
        </w:tabs>
        <w:bidi/>
        <w:spacing w:line="360" w:lineRule="auto"/>
        <w:ind w:left="647" w:hanging="423"/>
        <w:jc w:val="both"/>
        <w:rPr>
          <w:rFonts w:ascii="Arial" w:hAnsi="Arial"/>
          <w:b/>
          <w:bCs/>
          <w:color w:val="0000FF"/>
          <w:sz w:val="24"/>
          <w:u w:val="single"/>
          <w:rtl/>
        </w:rPr>
      </w:pPr>
      <w:r w:rsidRPr="00BD3500">
        <w:rPr>
          <w:rFonts w:ascii="Arial" w:hAnsi="Arial" w:hint="cs"/>
          <w:b/>
          <w:bCs/>
          <w:color w:val="0000FF"/>
          <w:sz w:val="24"/>
          <w:u w:val="single"/>
          <w:rtl/>
        </w:rPr>
        <w:t>הוראה לעובד בחופשה לא מאושרת שאם לא יגיע לעבודה יחשב למתפטר, דינה כפיטורים</w:t>
      </w:r>
    </w:p>
    <w:p w:rsidR="000118BE" w:rsidRPr="004F3E52" w:rsidRDefault="000118BE" w:rsidP="00A8553B">
      <w:pPr>
        <w:tabs>
          <w:tab w:val="left" w:pos="90"/>
        </w:tabs>
        <w:bidi/>
        <w:spacing w:line="360" w:lineRule="auto"/>
        <w:jc w:val="both"/>
        <w:rPr>
          <w:rFonts w:ascii="Arial" w:hAnsi="Arial"/>
          <w:b/>
          <w:bCs/>
          <w:color w:val="008000"/>
          <w:sz w:val="24"/>
          <w:u w:val="single"/>
          <w:rtl/>
        </w:rPr>
      </w:pPr>
    </w:p>
    <w:p w:rsidR="000118BE" w:rsidRPr="00C453A7"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b/>
          <w:bCs/>
          <w:noProof w:val="0"/>
          <w:szCs w:val="24"/>
          <w:rtl/>
          <w:lang w:eastAsia="en-US"/>
        </w:rPr>
      </w:pPr>
      <w:r w:rsidRPr="00C453A7">
        <w:rPr>
          <w:rFonts w:cs="David" w:hint="cs"/>
          <w:b/>
          <w:bCs/>
          <w:noProof w:val="0"/>
          <w:szCs w:val="24"/>
          <w:rtl/>
          <w:lang w:eastAsia="en-US"/>
        </w:rPr>
        <w:t>בית הדין קיבל חלקית את תביעתה של חשבת, אשר עבדה כשנתיים בחברה לייצור ושיווק תכשיטים ונעדרה מעבודתה ללא אישור. בית הדין פסק, כי נסיבות סיום עבודתה בנתבעת הינן פיטורים וכפועל יוצא מכך הינה זכאית לפיצויי פיטורים. יחד עם זאת, בשל עבירת המשמעת שביצעה, היא אינה זכאית לתמורת הודעה מוקדמת.</w:t>
      </w:r>
    </w:p>
    <w:p w:rsidR="000118BE" w:rsidRPr="00C453A7"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b/>
          <w:bCs/>
          <w:noProof w:val="0"/>
          <w:szCs w:val="24"/>
          <w:rtl/>
          <w:lang w:eastAsia="en-US"/>
        </w:rPr>
      </w:pPr>
      <w:r w:rsidRPr="00C453A7">
        <w:rPr>
          <w:rFonts w:cs="David" w:hint="cs"/>
          <w:b/>
          <w:bCs/>
          <w:noProof w:val="0"/>
          <w:szCs w:val="24"/>
          <w:rtl/>
          <w:lang w:eastAsia="en-US"/>
        </w:rPr>
        <w:t xml:space="preserve">ההלכה, לפי פסיקת בית הדין הארצי היא, כי </w:t>
      </w:r>
      <w:r w:rsidRPr="00C453A7">
        <w:rPr>
          <w:rFonts w:cs="David"/>
          <w:b/>
          <w:bCs/>
          <w:noProof w:val="0"/>
          <w:szCs w:val="24"/>
          <w:rtl/>
          <w:lang w:eastAsia="en-US"/>
        </w:rPr>
        <w:t>השאלה אם מדובר בהתפטרות או בפיטורים</w:t>
      </w:r>
      <w:r w:rsidRPr="00C453A7">
        <w:rPr>
          <w:rFonts w:cs="David" w:hint="cs"/>
          <w:b/>
          <w:bCs/>
          <w:noProof w:val="0"/>
          <w:szCs w:val="24"/>
          <w:rtl/>
          <w:lang w:eastAsia="en-US"/>
        </w:rPr>
        <w:t xml:space="preserve"> </w:t>
      </w:r>
      <w:r w:rsidRPr="00C453A7">
        <w:rPr>
          <w:rFonts w:cs="David"/>
          <w:b/>
          <w:bCs/>
          <w:noProof w:val="0"/>
          <w:szCs w:val="24"/>
          <w:rtl/>
          <w:lang w:eastAsia="en-US"/>
        </w:rPr>
        <w:t>אינה מי גרם לביטול החוזה</w:t>
      </w:r>
      <w:r w:rsidRPr="00C453A7">
        <w:rPr>
          <w:rFonts w:cs="David" w:hint="cs"/>
          <w:b/>
          <w:bCs/>
          <w:noProof w:val="0"/>
          <w:szCs w:val="24"/>
          <w:rtl/>
          <w:lang w:eastAsia="en-US"/>
        </w:rPr>
        <w:t xml:space="preserve"> או</w:t>
      </w:r>
      <w:r w:rsidRPr="00C453A7">
        <w:rPr>
          <w:rFonts w:cs="David"/>
          <w:b/>
          <w:bCs/>
          <w:noProof w:val="0"/>
          <w:szCs w:val="24"/>
          <w:rtl/>
          <w:lang w:eastAsia="en-US"/>
        </w:rPr>
        <w:t xml:space="preserve"> מי הפר את החוזה, אלא מי 'ביטל' את החוזה.</w:t>
      </w:r>
      <w:r w:rsidRPr="00C453A7">
        <w:rPr>
          <w:rFonts w:cs="David" w:hint="cs"/>
          <w:b/>
          <w:bCs/>
          <w:noProof w:val="0"/>
          <w:szCs w:val="24"/>
          <w:rtl/>
          <w:lang w:eastAsia="en-US"/>
        </w:rPr>
        <w:t xml:space="preserve"> </w:t>
      </w:r>
      <w:r w:rsidRPr="00C453A7">
        <w:rPr>
          <w:rFonts w:cs="David"/>
          <w:b/>
          <w:bCs/>
          <w:noProof w:val="0"/>
          <w:szCs w:val="24"/>
          <w:rtl/>
          <w:lang w:eastAsia="en-US"/>
        </w:rPr>
        <w:t>אין עובד יכול להעמיד עצמו במצב של מפוטר על-ידי כך שיודיע למעבידו כי אם לא ינהג כלפיו בדרך מסוימת יראה את המעביד כמי שפיטרו מהעבודה, ואין מעביד יכול להעמיד עובד במצב של מי שהתפטר מהעבודה, על-ידי כך שיודיע לעובד כי אם לא ינהג בדרך מסוימת, יראוהו כמתפטר מהעבודה. מעשיו של המפטר קובעים אם הוא פיטר, ומעשיו של המתפטר קובעים אם הוא התפט</w:t>
      </w:r>
      <w:r w:rsidRPr="00C453A7">
        <w:rPr>
          <w:rFonts w:cs="David" w:hint="cs"/>
          <w:b/>
          <w:bCs/>
          <w:noProof w:val="0"/>
          <w:szCs w:val="24"/>
          <w:rtl/>
          <w:lang w:eastAsia="en-US"/>
        </w:rPr>
        <w:t>ר.</w:t>
      </w:r>
      <w:r w:rsidRPr="00C453A7">
        <w:rPr>
          <w:rFonts w:cs="David"/>
          <w:b/>
          <w:bCs/>
          <w:noProof w:val="0"/>
          <w:szCs w:val="24"/>
          <w:rtl/>
          <w:lang w:eastAsia="en-US"/>
        </w:rPr>
        <w:t xml:space="preserve"> כיצד 'יראהו' הצד השני או כיצד 'ייחשב' בעיניו של הצד השני, הוא חסר משמעות ונפקות.</w:t>
      </w:r>
      <w:r w:rsidRPr="00C453A7">
        <w:rPr>
          <w:rFonts w:cs="David" w:hint="cs"/>
          <w:b/>
          <w:bCs/>
          <w:noProof w:val="0"/>
          <w:szCs w:val="24"/>
          <w:rtl/>
          <w:lang w:eastAsia="en-US"/>
        </w:rPr>
        <w:t xml:space="preserve"> </w:t>
      </w:r>
      <w:r w:rsidRPr="00C453A7">
        <w:rPr>
          <w:rFonts w:cs="David"/>
          <w:b/>
          <w:bCs/>
          <w:noProof w:val="0"/>
          <w:szCs w:val="24"/>
          <w:rtl/>
          <w:lang w:eastAsia="en-US"/>
        </w:rPr>
        <w:t>במקרה זה</w:t>
      </w:r>
      <w:r w:rsidRPr="00C453A7">
        <w:rPr>
          <w:rFonts w:cs="David" w:hint="cs"/>
          <w:b/>
          <w:bCs/>
          <w:noProof w:val="0"/>
          <w:szCs w:val="24"/>
          <w:rtl/>
          <w:lang w:eastAsia="en-US"/>
        </w:rPr>
        <w:t>,</w:t>
      </w:r>
      <w:r w:rsidRPr="00C453A7">
        <w:rPr>
          <w:rFonts w:cs="David"/>
          <w:b/>
          <w:bCs/>
          <w:noProof w:val="0"/>
          <w:szCs w:val="24"/>
          <w:rtl/>
          <w:lang w:eastAsia="en-US"/>
        </w:rPr>
        <w:t xml:space="preserve"> התובעת נעדרה </w:t>
      </w:r>
      <w:r w:rsidRPr="00C453A7">
        <w:rPr>
          <w:rFonts w:cs="David" w:hint="cs"/>
          <w:b/>
          <w:bCs/>
          <w:noProof w:val="0"/>
          <w:szCs w:val="24"/>
          <w:rtl/>
          <w:lang w:eastAsia="en-US"/>
        </w:rPr>
        <w:t xml:space="preserve">מעבודתה </w:t>
      </w:r>
      <w:r w:rsidRPr="00C453A7">
        <w:rPr>
          <w:rFonts w:cs="David"/>
          <w:b/>
          <w:bCs/>
          <w:noProof w:val="0"/>
          <w:szCs w:val="24"/>
          <w:rtl/>
          <w:lang w:eastAsia="en-US"/>
        </w:rPr>
        <w:t xml:space="preserve">ללא אישור במשך 16 ימים </w:t>
      </w:r>
      <w:r w:rsidRPr="00C453A7">
        <w:rPr>
          <w:rFonts w:cs="David" w:hint="cs"/>
          <w:b/>
          <w:bCs/>
          <w:noProof w:val="0"/>
          <w:szCs w:val="24"/>
          <w:rtl/>
          <w:lang w:eastAsia="en-US"/>
        </w:rPr>
        <w:t>ו</w:t>
      </w:r>
      <w:r w:rsidRPr="00C453A7">
        <w:rPr>
          <w:rFonts w:cs="David"/>
          <w:b/>
          <w:bCs/>
          <w:noProof w:val="0"/>
          <w:szCs w:val="24"/>
          <w:rtl/>
          <w:lang w:eastAsia="en-US"/>
        </w:rPr>
        <w:t xml:space="preserve">חזרה לעבודה. צעד של זניחת העבודה אינו מתיישב עם חזרה לעבודה, גם אם החזרה היתה ימים רבים לאחר שהתובעת היתה אמורה לשוב לעבודה. </w:t>
      </w:r>
    </w:p>
    <w:p w:rsidR="000118BE" w:rsidRPr="00C453A7"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b/>
          <w:bCs/>
          <w:noProof w:val="0"/>
          <w:szCs w:val="24"/>
          <w:rtl/>
          <w:lang w:eastAsia="en-US"/>
        </w:rPr>
      </w:pPr>
      <w:r w:rsidRPr="00C453A7">
        <w:rPr>
          <w:rFonts w:cs="David"/>
          <w:b/>
          <w:bCs/>
          <w:noProof w:val="0"/>
          <w:szCs w:val="24"/>
          <w:rtl/>
          <w:lang w:eastAsia="en-US"/>
        </w:rPr>
        <w:t>בנסיבות העניין, כאשר התובעת שבה בסופו של יום לעבודה</w:t>
      </w:r>
      <w:r w:rsidRPr="00C453A7">
        <w:rPr>
          <w:rFonts w:cs="David" w:hint="cs"/>
          <w:b/>
          <w:bCs/>
          <w:noProof w:val="0"/>
          <w:szCs w:val="24"/>
          <w:rtl/>
          <w:lang w:eastAsia="en-US"/>
        </w:rPr>
        <w:t xml:space="preserve">, לא ניתן לקבוע כי זנחה את העבודה ואין לראות התנהגותה כהתפטרות. אולם, </w:t>
      </w:r>
      <w:r w:rsidRPr="00C453A7">
        <w:rPr>
          <w:rFonts w:cs="David"/>
          <w:b/>
          <w:bCs/>
          <w:noProof w:val="0"/>
          <w:szCs w:val="24"/>
          <w:rtl/>
          <w:lang w:eastAsia="en-US"/>
        </w:rPr>
        <w:t xml:space="preserve">נוכח התנהגותה של התובעת, אשר פעלה על דעת עצמה ויצאה לחופשה ללא אישור, יש לראות בה כמי שביצעה עבירת משמעת המצדיקה את פיטוריה. על פי הדין, המעביד הוא הקובע את מועדי החופשות ולא ייתכן שכל עובד יקבע לו את מועדי החופשה לפי רצונותיו. מאחר שהתובעת פוטרה מעבודתה על אתר, היא זכאית לפיצויי פיטורים. </w:t>
      </w:r>
      <w:r w:rsidRPr="00C453A7">
        <w:rPr>
          <w:rFonts w:cs="David" w:hint="cs"/>
          <w:b/>
          <w:bCs/>
          <w:noProof w:val="0"/>
          <w:szCs w:val="24"/>
          <w:rtl/>
          <w:lang w:eastAsia="en-US"/>
        </w:rPr>
        <w:t>אולם,</w:t>
      </w:r>
      <w:r w:rsidRPr="00C453A7">
        <w:rPr>
          <w:rFonts w:cs="David"/>
          <w:b/>
          <w:bCs/>
          <w:noProof w:val="0"/>
          <w:szCs w:val="24"/>
          <w:rtl/>
          <w:lang w:eastAsia="en-US"/>
        </w:rPr>
        <w:t xml:space="preserve"> בנסיבות העניין</w:t>
      </w:r>
      <w:r w:rsidRPr="00C453A7">
        <w:rPr>
          <w:rFonts w:cs="David" w:hint="cs"/>
          <w:b/>
          <w:bCs/>
          <w:noProof w:val="0"/>
          <w:szCs w:val="24"/>
          <w:rtl/>
          <w:lang w:eastAsia="en-US"/>
        </w:rPr>
        <w:t>,</w:t>
      </w:r>
      <w:r w:rsidRPr="00C453A7">
        <w:rPr>
          <w:rFonts w:cs="David"/>
          <w:b/>
          <w:bCs/>
          <w:noProof w:val="0"/>
          <w:szCs w:val="24"/>
          <w:rtl/>
          <w:lang w:eastAsia="en-US"/>
        </w:rPr>
        <w:t xml:space="preserve"> התובעת</w:t>
      </w:r>
      <w:r w:rsidRPr="00C453A7">
        <w:rPr>
          <w:rFonts w:cs="David" w:hint="cs"/>
          <w:b/>
          <w:bCs/>
          <w:noProof w:val="0"/>
          <w:szCs w:val="24"/>
          <w:rtl/>
          <w:lang w:eastAsia="en-US"/>
        </w:rPr>
        <w:t xml:space="preserve">, אשר </w:t>
      </w:r>
      <w:r w:rsidRPr="00C453A7">
        <w:rPr>
          <w:rFonts w:cs="David"/>
          <w:b/>
          <w:bCs/>
          <w:noProof w:val="0"/>
          <w:szCs w:val="24"/>
          <w:rtl/>
          <w:lang w:eastAsia="en-US"/>
        </w:rPr>
        <w:t>פעלה בניגוד להוראות המעביד</w:t>
      </w:r>
      <w:r w:rsidRPr="00C453A7">
        <w:rPr>
          <w:rFonts w:cs="David" w:hint="cs"/>
          <w:b/>
          <w:bCs/>
          <w:noProof w:val="0"/>
          <w:szCs w:val="24"/>
          <w:rtl/>
          <w:lang w:eastAsia="en-US"/>
        </w:rPr>
        <w:t xml:space="preserve">, </w:t>
      </w:r>
      <w:r w:rsidRPr="00C453A7">
        <w:rPr>
          <w:rFonts w:cs="David"/>
          <w:b/>
          <w:bCs/>
          <w:noProof w:val="0"/>
          <w:szCs w:val="24"/>
          <w:rtl/>
          <w:lang w:eastAsia="en-US"/>
        </w:rPr>
        <w:t>אינה זכאית לתמורת הודעה מוקדמת.</w:t>
      </w:r>
      <w:r w:rsidRPr="00C453A7">
        <w:rPr>
          <w:rFonts w:cs="David" w:hint="cs"/>
          <w:b/>
          <w:bCs/>
          <w:noProof w:val="0"/>
          <w:szCs w:val="24"/>
          <w:rtl/>
          <w:lang w:eastAsia="en-US"/>
        </w:rPr>
        <w:t xml:space="preserve"> התביעה התקבלה באופן חלקי ונפסק כי על הנתבעת לשלם לתובעת פיצויי פיטורים בסך 24,000₪ ופדיון הבראה בסך 918₪. לא נפסקו הוצאות לצדדים.</w:t>
      </w:r>
    </w:p>
    <w:p w:rsidR="000118BE" w:rsidRPr="000A1367"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44"/>
        <w:rPr>
          <w:rFonts w:cs="David"/>
          <w:b/>
          <w:bCs/>
          <w:noProof w:val="0"/>
          <w:sz w:val="22"/>
          <w:szCs w:val="22"/>
          <w:rtl/>
          <w:lang w:eastAsia="en-US"/>
        </w:rPr>
      </w:pPr>
      <w:r w:rsidRPr="000A1367">
        <w:rPr>
          <w:rFonts w:ascii="David" w:hAnsi="David" w:cs="David" w:hint="cs"/>
          <w:color w:val="000000"/>
          <w:sz w:val="22"/>
          <w:szCs w:val="22"/>
          <w:rtl/>
        </w:rPr>
        <w:t>ס"ע</w:t>
      </w:r>
      <w:r w:rsidRPr="000A1367">
        <w:rPr>
          <w:rFonts w:ascii="David" w:hAnsi="David" w:cs="David"/>
          <w:color w:val="000000"/>
          <w:sz w:val="22"/>
          <w:szCs w:val="22"/>
          <w:rtl/>
        </w:rPr>
        <w:t xml:space="preserve"> (ת"א) </w:t>
      </w:r>
      <w:r w:rsidRPr="000A1367">
        <w:rPr>
          <w:rFonts w:ascii="David" w:hAnsi="David" w:cs="David" w:hint="cs"/>
          <w:color w:val="000000"/>
          <w:sz w:val="22"/>
          <w:szCs w:val="22"/>
          <w:rtl/>
        </w:rPr>
        <w:t>55310-08-10</w:t>
      </w:r>
      <w:r w:rsidRPr="000A1367">
        <w:rPr>
          <w:rFonts w:cs="David"/>
          <w:color w:val="FF0000"/>
          <w:sz w:val="22"/>
          <w:szCs w:val="22"/>
        </w:rPr>
        <w:t xml:space="preserve">● </w:t>
      </w:r>
      <w:r w:rsidRPr="000A1367">
        <w:rPr>
          <w:rFonts w:cs="David" w:hint="cs"/>
          <w:color w:val="2B003A"/>
          <w:sz w:val="22"/>
          <w:szCs w:val="22"/>
          <w:rtl/>
        </w:rPr>
        <w:t xml:space="preserve"> </w:t>
      </w:r>
      <w:r w:rsidRPr="00014E5E">
        <w:rPr>
          <w:rFonts w:ascii="David" w:hAnsi="David" w:cs="David" w:hint="cs"/>
          <w:b/>
          <w:bCs/>
          <w:color w:val="FF0000"/>
          <w:sz w:val="22"/>
          <w:szCs w:val="22"/>
          <w:rtl/>
        </w:rPr>
        <w:t>יעל וינר נ' תכשיטי טלמור בע"מ</w:t>
      </w:r>
      <w:r w:rsidRPr="00014E5E">
        <w:rPr>
          <w:rFonts w:cs="David"/>
          <w:b/>
          <w:bCs/>
          <w:color w:val="FF0000"/>
          <w:rtl/>
        </w:rPr>
        <w:t xml:space="preserve"> </w:t>
      </w:r>
      <w:r w:rsidRPr="000A1367">
        <w:rPr>
          <w:rFonts w:ascii="David" w:hAnsi="David" w:cs="David" w:hint="cs"/>
          <w:color w:val="000000"/>
          <w:sz w:val="22"/>
          <w:szCs w:val="22"/>
          <w:rtl/>
        </w:rPr>
        <w:t>(13.6.13</w:t>
      </w:r>
      <w:r w:rsidRPr="000A1367">
        <w:rPr>
          <w:rFonts w:cs="David" w:hint="cs"/>
          <w:color w:val="2B003A"/>
          <w:sz w:val="22"/>
          <w:szCs w:val="22"/>
          <w:rtl/>
        </w:rPr>
        <w:t xml:space="preserve">) </w:t>
      </w:r>
      <w:r w:rsidRPr="000A1367">
        <w:rPr>
          <w:rFonts w:cs="David"/>
          <w:color w:val="FF0000"/>
          <w:sz w:val="22"/>
          <w:szCs w:val="22"/>
        </w:rPr>
        <w:t>●</w:t>
      </w:r>
      <w:r w:rsidRPr="000A1367">
        <w:rPr>
          <w:rFonts w:cs="David" w:hint="cs"/>
          <w:color w:val="2B003A"/>
          <w:sz w:val="22"/>
          <w:szCs w:val="22"/>
          <w:rtl/>
        </w:rPr>
        <w:t xml:space="preserve"> </w:t>
      </w:r>
      <w:r w:rsidRPr="000A1367">
        <w:rPr>
          <w:rFonts w:ascii="David" w:hAnsi="David" w:cs="David" w:hint="cs"/>
          <w:color w:val="000000"/>
          <w:sz w:val="22"/>
          <w:szCs w:val="22"/>
          <w:rtl/>
        </w:rPr>
        <w:t>בפני כבוד השופטת דגית ויסמן, נ.ע גב' שולמית עתניאל שמואלי</w:t>
      </w:r>
    </w:p>
    <w:p w:rsidR="000118BE" w:rsidRDefault="000118BE" w:rsidP="00A8553B">
      <w:pPr>
        <w:pStyle w:val="a4"/>
        <w:tabs>
          <w:tab w:val="right" w:pos="8311"/>
        </w:tabs>
        <w:spacing w:line="360" w:lineRule="auto"/>
        <w:rPr>
          <w:sz w:val="20"/>
          <w:szCs w:val="20"/>
          <w:rtl/>
        </w:rPr>
      </w:pPr>
    </w:p>
    <w:p w:rsidR="00DC1DBF" w:rsidRDefault="00DC1DBF" w:rsidP="00A8553B">
      <w:pPr>
        <w:pStyle w:val="a4"/>
        <w:tabs>
          <w:tab w:val="right" w:pos="8311"/>
        </w:tabs>
        <w:spacing w:line="360" w:lineRule="auto"/>
        <w:rPr>
          <w:sz w:val="20"/>
          <w:szCs w:val="20"/>
          <w:rtl/>
        </w:rPr>
      </w:pPr>
    </w:p>
    <w:p w:rsidR="00DC1DBF" w:rsidRDefault="00DC1DBF" w:rsidP="00A8553B">
      <w:pPr>
        <w:pStyle w:val="a4"/>
        <w:tabs>
          <w:tab w:val="right" w:pos="8311"/>
        </w:tabs>
        <w:spacing w:line="360" w:lineRule="auto"/>
        <w:rPr>
          <w:sz w:val="20"/>
          <w:szCs w:val="20"/>
          <w:rtl/>
        </w:rPr>
      </w:pPr>
    </w:p>
    <w:p w:rsidR="00DC1DBF" w:rsidRPr="005E2246" w:rsidRDefault="00DC1DBF" w:rsidP="00A8553B">
      <w:pPr>
        <w:pStyle w:val="a4"/>
        <w:tabs>
          <w:tab w:val="right" w:pos="8311"/>
        </w:tabs>
        <w:spacing w:line="360" w:lineRule="auto"/>
        <w:rPr>
          <w:sz w:val="20"/>
          <w:szCs w:val="20"/>
          <w:rtl/>
        </w:rPr>
      </w:pPr>
    </w:p>
    <w:p w:rsidR="000118BE" w:rsidRDefault="000118BE" w:rsidP="00A8553B">
      <w:pPr>
        <w:numPr>
          <w:ilvl w:val="0"/>
          <w:numId w:val="5"/>
        </w:numPr>
        <w:bidi/>
        <w:spacing w:line="360" w:lineRule="auto"/>
        <w:jc w:val="both"/>
        <w:outlineLvl w:val="2"/>
        <w:rPr>
          <w:rFonts w:ascii="David" w:hAnsi="David"/>
          <w:b/>
          <w:bCs/>
          <w:color w:val="FF0000"/>
          <w:sz w:val="32"/>
          <w:szCs w:val="26"/>
          <w:u w:val="single"/>
        </w:rPr>
      </w:pPr>
      <w:bookmarkStart w:id="40" w:name="_Toc383530619"/>
      <w:bookmarkStart w:id="41" w:name="_Toc383587157"/>
      <w:bookmarkStart w:id="42" w:name="_Toc383587362"/>
      <w:bookmarkStart w:id="43" w:name="_Toc383587804"/>
      <w:bookmarkEnd w:id="36"/>
      <w:bookmarkEnd w:id="37"/>
      <w:r w:rsidRPr="004C79D2">
        <w:rPr>
          <w:rFonts w:ascii="David" w:hAnsi="David" w:hint="cs"/>
          <w:b/>
          <w:bCs/>
          <w:color w:val="FF0000"/>
          <w:sz w:val="32"/>
          <w:szCs w:val="26"/>
          <w:u w:val="single"/>
          <w:rtl/>
        </w:rPr>
        <w:lastRenderedPageBreak/>
        <w:t>פיצויי פיטורים</w:t>
      </w:r>
      <w:bookmarkEnd w:id="35"/>
      <w:bookmarkEnd w:id="40"/>
      <w:bookmarkEnd w:id="41"/>
      <w:bookmarkEnd w:id="42"/>
      <w:bookmarkEnd w:id="43"/>
    </w:p>
    <w:p w:rsidR="00DA5A2D" w:rsidRPr="00BD3500" w:rsidRDefault="00DA5A2D" w:rsidP="00DC1DBF">
      <w:pPr>
        <w:bidi/>
        <w:ind w:left="360"/>
        <w:jc w:val="both"/>
        <w:outlineLvl w:val="2"/>
        <w:rPr>
          <w:rFonts w:ascii="David" w:hAnsi="David"/>
          <w:b/>
          <w:bCs/>
          <w:color w:val="0000FF"/>
          <w:sz w:val="32"/>
          <w:szCs w:val="26"/>
          <w:u w:val="single"/>
        </w:rPr>
      </w:pPr>
    </w:p>
    <w:p w:rsidR="000118BE" w:rsidRPr="00BD3500" w:rsidRDefault="000118BE" w:rsidP="00A8553B">
      <w:pPr>
        <w:numPr>
          <w:ilvl w:val="0"/>
          <w:numId w:val="14"/>
        </w:numPr>
        <w:tabs>
          <w:tab w:val="left" w:pos="70"/>
        </w:tabs>
        <w:bidi/>
        <w:spacing w:line="360" w:lineRule="auto"/>
        <w:jc w:val="both"/>
        <w:rPr>
          <w:rFonts w:ascii="Arial" w:hAnsi="Arial"/>
          <w:b/>
          <w:bCs/>
          <w:color w:val="0000FF"/>
          <w:sz w:val="24"/>
          <w:u w:val="single"/>
          <w:rtl/>
        </w:rPr>
      </w:pPr>
      <w:r w:rsidRPr="00BD3500">
        <w:rPr>
          <w:rFonts w:ascii="Arial" w:hAnsi="Arial" w:hint="cs"/>
          <w:b/>
          <w:bCs/>
          <w:color w:val="0000FF"/>
          <w:sz w:val="24"/>
          <w:u w:val="single"/>
          <w:rtl/>
        </w:rPr>
        <w:t>נדחתה תביעת מעביד לשלילת פיצויי פטורים בפטורי משמעת</w:t>
      </w:r>
    </w:p>
    <w:p w:rsidR="000118BE" w:rsidRDefault="000118BE" w:rsidP="00DC1DBF">
      <w:pPr>
        <w:bidi/>
        <w:ind w:left="-86"/>
        <w:jc w:val="both"/>
        <w:rPr>
          <w:b/>
          <w:bCs/>
          <w:sz w:val="24"/>
          <w:rtl/>
        </w:rPr>
      </w:pPr>
    </w:p>
    <w:p w:rsidR="000118BE" w:rsidRPr="001E2D43" w:rsidRDefault="000118BE" w:rsidP="00A8553B">
      <w:pPr>
        <w:tabs>
          <w:tab w:val="left" w:pos="-56"/>
        </w:tabs>
        <w:bidi/>
        <w:spacing w:line="360" w:lineRule="auto"/>
        <w:ind w:left="-56"/>
        <w:jc w:val="both"/>
        <w:rPr>
          <w:rFonts w:ascii="Arial" w:eastAsia="Calibri" w:hAnsi="Arial"/>
          <w:b/>
          <w:bCs/>
          <w:sz w:val="24"/>
          <w:rtl/>
        </w:rPr>
      </w:pPr>
      <w:r w:rsidRPr="001E2D43">
        <w:rPr>
          <w:rFonts w:ascii="Arial" w:eastAsia="Calibri" w:hAnsi="Arial" w:hint="cs"/>
          <w:b/>
          <w:bCs/>
          <w:sz w:val="24"/>
          <w:rtl/>
        </w:rPr>
        <w:t xml:space="preserve">מציל בבריכת מלון שפוטר ללא שימוע, הגיש תביעה כספית לפיצויי פיטורים, פיצויי הלנה, הודעה מוקדמת, פיצוי בגין אי עריכת שימוע, פדיון חופשה שנתית ודמי הבראה. המעבידה טענה, כי המציל פוטר בשל עבירות משמעת חמורות וזלזול בוטה בתפקידו באופן המצדיק שלילה מוחלטת של פיצויי הפיטורים. </w:t>
      </w:r>
    </w:p>
    <w:p w:rsidR="000118BE" w:rsidRPr="001E2D43" w:rsidRDefault="000118BE" w:rsidP="00DC1DBF">
      <w:pPr>
        <w:tabs>
          <w:tab w:val="left" w:pos="-56"/>
        </w:tabs>
        <w:bidi/>
        <w:spacing w:line="360" w:lineRule="auto"/>
        <w:ind w:left="-56"/>
        <w:jc w:val="both"/>
        <w:rPr>
          <w:rFonts w:ascii="Arial" w:eastAsia="Calibri" w:hAnsi="Arial"/>
          <w:b/>
          <w:bCs/>
          <w:sz w:val="24"/>
          <w:rtl/>
        </w:rPr>
      </w:pPr>
      <w:r w:rsidRPr="001E2D43">
        <w:rPr>
          <w:rFonts w:ascii="Arial" w:eastAsia="Calibri" w:hAnsi="Arial" w:hint="cs"/>
          <w:b/>
          <w:bCs/>
          <w:sz w:val="24"/>
          <w:rtl/>
        </w:rPr>
        <w:t>בית הדין קבע, כי על מעביד המפטר עובד תוך שלילת פיצויי פיטורים או הפחתתם, להוכיח, כי עילת השלילה הייתה קיימת בעת הפיטורים והיא שהיוותה את העילה לפיטורים. בענייננו נקבע, כי על אף שבחלק מן המקרים לא נהג העובד כשורה, המעבידה, בזמן אמת, לא ראתה בהם כעבירת משמעת חמורה המצדיקה פיטורים. פיטורי העובד הגיעו רק לאחר מכבש לחצים שהפעילה בריכת המלון על המעבידה. זאת ועוד, גם היה מדובר בפיטורי משמעת, ההלכה הפסוקה מלמדת ששלילת מלוא הפיצויים הינה "התווית גבול עליון לסמכות הענישה, גבול שאינו דוחה אפשרות של ענשי ביניים, לפי שיקול דעת". והרי עבירת המשמעת, לא נתפשה בעיני המעבידה דנן כעבירה שברף העליון של הענישה. לכן, בית הדין פסק, כי לא מדובר בעבירת משמעת חמורה, ואין עילה לשלילת הפיצויים.</w:t>
      </w:r>
    </w:p>
    <w:p w:rsidR="000118BE" w:rsidRPr="001E2D43" w:rsidRDefault="000118BE" w:rsidP="00A8553B">
      <w:pPr>
        <w:tabs>
          <w:tab w:val="left" w:pos="-56"/>
        </w:tabs>
        <w:bidi/>
        <w:spacing w:line="360" w:lineRule="auto"/>
        <w:ind w:left="-56"/>
        <w:jc w:val="both"/>
        <w:rPr>
          <w:rFonts w:ascii="Arial" w:eastAsia="Calibri" w:hAnsi="Arial"/>
          <w:b/>
          <w:bCs/>
          <w:sz w:val="24"/>
          <w:rtl/>
        </w:rPr>
      </w:pPr>
      <w:r w:rsidRPr="001E2D43">
        <w:rPr>
          <w:rFonts w:ascii="Arial" w:eastAsia="Calibri" w:hAnsi="Arial" w:hint="cs"/>
          <w:b/>
          <w:bCs/>
          <w:sz w:val="24"/>
          <w:rtl/>
        </w:rPr>
        <w:t>בתביעת העובד נקבע, כי מאחר והעובד היה מודע בזמן אמת לטענות המלון והמעבידה כלפיו, הרי שלא היה בקיומו של שימוע כדי לשנות את ההחלטה, שכאמור, הוכתבה ע"י המלון. בנסיבות אלה, ממילא מתאיינת נפקותו. מאידך, התקבלה תביעתו לפיצויי פיטורים,</w:t>
      </w:r>
      <w:r>
        <w:rPr>
          <w:rFonts w:ascii="Arial" w:eastAsia="Calibri" w:hAnsi="Arial" w:hint="cs"/>
          <w:b/>
          <w:bCs/>
          <w:sz w:val="24"/>
          <w:rtl/>
        </w:rPr>
        <w:t xml:space="preserve"> </w:t>
      </w:r>
      <w:r w:rsidRPr="001E2D43">
        <w:rPr>
          <w:rFonts w:ascii="Arial" w:eastAsia="Calibri" w:hAnsi="Arial" w:hint="cs"/>
          <w:b/>
          <w:bCs/>
          <w:sz w:val="24"/>
          <w:rtl/>
        </w:rPr>
        <w:t>לדמי הודעה מוקדמת, לפדיון חופשה, לדמי הבראה ולהוצאות משפט.</w:t>
      </w:r>
      <w:bookmarkStart w:id="44" w:name="ABSTRACT_END"/>
      <w:bookmarkEnd w:id="44"/>
    </w:p>
    <w:p w:rsidR="000118BE" w:rsidRPr="001E2D43" w:rsidRDefault="000118BE" w:rsidP="00A8553B">
      <w:pPr>
        <w:tabs>
          <w:tab w:val="left" w:pos="90"/>
        </w:tabs>
        <w:bidi/>
        <w:spacing w:line="360" w:lineRule="auto"/>
        <w:ind w:left="-90"/>
        <w:jc w:val="both"/>
        <w:rPr>
          <w:b/>
          <w:bCs/>
          <w:sz w:val="22"/>
          <w:szCs w:val="22"/>
          <w:rtl/>
        </w:rPr>
      </w:pPr>
      <w:r w:rsidRPr="001E2D43">
        <w:rPr>
          <w:rFonts w:hint="cs"/>
          <w:sz w:val="22"/>
          <w:szCs w:val="22"/>
          <w:rtl/>
        </w:rPr>
        <w:t xml:space="preserve">ב"ע (אזורי חי') 17722-07-11 </w:t>
      </w:r>
      <w:r w:rsidRPr="001E2D43">
        <w:rPr>
          <w:color w:val="FF0000"/>
          <w:sz w:val="22"/>
          <w:szCs w:val="22"/>
        </w:rPr>
        <w:t>●</w:t>
      </w:r>
      <w:r w:rsidRPr="001E2D43">
        <w:rPr>
          <w:rFonts w:hint="cs"/>
          <w:b/>
          <w:bCs/>
          <w:color w:val="FF0000"/>
          <w:sz w:val="22"/>
          <w:szCs w:val="22"/>
          <w:rtl/>
        </w:rPr>
        <w:t xml:space="preserve"> </w:t>
      </w:r>
      <w:r w:rsidRPr="00014E5E">
        <w:rPr>
          <w:rFonts w:hint="cs"/>
          <w:b/>
          <w:bCs/>
          <w:color w:val="FF0000"/>
          <w:sz w:val="22"/>
          <w:szCs w:val="22"/>
          <w:rtl/>
        </w:rPr>
        <w:t xml:space="preserve">פייר עבדו נ' גרין קלאבס בע"מ </w:t>
      </w:r>
      <w:r w:rsidRPr="001E2D43">
        <w:rPr>
          <w:rFonts w:hint="cs"/>
          <w:sz w:val="22"/>
          <w:szCs w:val="22"/>
          <w:rtl/>
        </w:rPr>
        <w:t xml:space="preserve">(20.01.2014) </w:t>
      </w:r>
      <w:r w:rsidRPr="001E2D43">
        <w:rPr>
          <w:color w:val="FF0000"/>
          <w:sz w:val="22"/>
          <w:szCs w:val="22"/>
        </w:rPr>
        <w:t xml:space="preserve"> ●</w:t>
      </w:r>
      <w:r w:rsidRPr="001E2D43">
        <w:rPr>
          <w:rFonts w:hint="cs"/>
          <w:sz w:val="22"/>
          <w:szCs w:val="22"/>
          <w:rtl/>
        </w:rPr>
        <w:t>בפני כבוד השופטת מיכל פריימן, נציגת ציבור (עובדים) גב' מרטין מסיקה, נציגת ציבור (מעבידים) גב' אילנה מיכלסון</w:t>
      </w:r>
    </w:p>
    <w:p w:rsidR="000118BE" w:rsidRPr="00BD3500" w:rsidRDefault="000118BE" w:rsidP="00A8553B">
      <w:pPr>
        <w:tabs>
          <w:tab w:val="left" w:pos="90"/>
        </w:tabs>
        <w:bidi/>
        <w:spacing w:line="360" w:lineRule="auto"/>
        <w:ind w:left="-90"/>
        <w:jc w:val="both"/>
        <w:rPr>
          <w:color w:val="0000FF"/>
          <w:sz w:val="22"/>
          <w:szCs w:val="22"/>
          <w:rtl/>
          <w:lang w:eastAsia="he-IL"/>
        </w:rPr>
      </w:pPr>
    </w:p>
    <w:p w:rsidR="000118BE" w:rsidRPr="00BD3500" w:rsidRDefault="000118BE" w:rsidP="00A8553B">
      <w:pPr>
        <w:numPr>
          <w:ilvl w:val="0"/>
          <w:numId w:val="14"/>
        </w:numPr>
        <w:tabs>
          <w:tab w:val="left" w:pos="70"/>
          <w:tab w:val="num" w:pos="278"/>
        </w:tabs>
        <w:bidi/>
        <w:spacing w:line="360" w:lineRule="auto"/>
        <w:jc w:val="both"/>
        <w:rPr>
          <w:rFonts w:ascii="Arial" w:hAnsi="Arial"/>
          <w:b/>
          <w:bCs/>
          <w:color w:val="0000FF"/>
          <w:sz w:val="24"/>
          <w:u w:val="single"/>
        </w:rPr>
      </w:pPr>
      <w:r w:rsidRPr="00BD3500">
        <w:rPr>
          <w:rFonts w:ascii="Arial" w:hAnsi="Arial" w:hint="cs"/>
          <w:b/>
          <w:bCs/>
          <w:color w:val="0000FF"/>
          <w:sz w:val="24"/>
          <w:u w:val="single"/>
          <w:rtl/>
        </w:rPr>
        <w:t>תקדים- רופאה עצמאית זכתה בפיצויי פיטורים למרות שתביעתה כעובדת נדחתה</w:t>
      </w:r>
    </w:p>
    <w:p w:rsidR="000118BE" w:rsidRPr="00B36B47" w:rsidRDefault="000118BE" w:rsidP="00A8553B">
      <w:pPr>
        <w:tabs>
          <w:tab w:val="left" w:pos="-316"/>
        </w:tabs>
        <w:bidi/>
        <w:spacing w:line="360" w:lineRule="auto"/>
        <w:ind w:left="-316" w:right="-180"/>
        <w:jc w:val="both"/>
        <w:rPr>
          <w:rFonts w:ascii="Arial" w:hAnsi="Arial"/>
          <w:b/>
          <w:bCs/>
          <w:sz w:val="24"/>
          <w:u w:val="single"/>
          <w:rtl/>
        </w:rPr>
      </w:pPr>
    </w:p>
    <w:p w:rsidR="000118BE" w:rsidRPr="00512607" w:rsidRDefault="000118BE" w:rsidP="00A8553B">
      <w:pPr>
        <w:tabs>
          <w:tab w:val="left" w:pos="-56"/>
        </w:tabs>
        <w:bidi/>
        <w:spacing w:line="360" w:lineRule="auto"/>
        <w:ind w:left="-56"/>
        <w:jc w:val="both"/>
        <w:rPr>
          <w:rFonts w:ascii="Arial" w:eastAsia="Calibri" w:hAnsi="Arial"/>
          <w:b/>
          <w:bCs/>
          <w:sz w:val="24"/>
          <w:rtl/>
        </w:rPr>
      </w:pPr>
      <w:r w:rsidRPr="00512607">
        <w:rPr>
          <w:rFonts w:ascii="Arial" w:eastAsia="Calibri" w:hAnsi="Arial" w:hint="cs"/>
          <w:b/>
          <w:bCs/>
          <w:sz w:val="24"/>
          <w:rtl/>
        </w:rPr>
        <w:t>רופאה, שהועסקה על ידי קופת חולים מאוחדת כרופאה עצמאית, במשך 33 שנה במרפאה פרטית, הגישה תביעה נגד הקופה להכיר בקיומם של יחסי עובד- מעביד, תשלום פיצויי פיטורים ודמי הבראה. לחלופין, היא תבעה פיצוי לאור התכלית הסוציאלית של חוק פיצויי פיטורים.</w:t>
      </w:r>
    </w:p>
    <w:p w:rsidR="000118BE" w:rsidRPr="00512607" w:rsidRDefault="000118BE" w:rsidP="00A8553B">
      <w:pPr>
        <w:tabs>
          <w:tab w:val="left" w:pos="-56"/>
        </w:tabs>
        <w:bidi/>
        <w:spacing w:line="360" w:lineRule="auto"/>
        <w:ind w:left="-56"/>
        <w:jc w:val="both"/>
        <w:rPr>
          <w:rFonts w:ascii="Arial" w:eastAsia="Calibri" w:hAnsi="Arial"/>
          <w:b/>
          <w:bCs/>
          <w:sz w:val="24"/>
          <w:rtl/>
        </w:rPr>
      </w:pPr>
      <w:r w:rsidRPr="00512607">
        <w:rPr>
          <w:rFonts w:ascii="Arial" w:eastAsia="Calibri" w:hAnsi="Arial" w:hint="cs"/>
          <w:b/>
          <w:bCs/>
          <w:sz w:val="24"/>
          <w:rtl/>
        </w:rPr>
        <w:t>לטענת הרופאה, התקיימו יחסי עובד- מעביד בין הצדדים: הרופאה עבדה בשעות קבועות, הוצגה כרופאת הקופה בפני גורמים שלישיים, הקופה סיפקה לה ציוד רפואי וציוד משרדי ואף קבעה את התעריף עבור ביקור המבוטחים ועוד. כמו כן, הקשר הארוך בין הצדדים.</w:t>
      </w:r>
    </w:p>
    <w:p w:rsidR="000118BE" w:rsidRPr="00512607" w:rsidRDefault="000118BE" w:rsidP="00A8553B">
      <w:pPr>
        <w:tabs>
          <w:tab w:val="left" w:pos="-56"/>
        </w:tabs>
        <w:bidi/>
        <w:spacing w:line="360" w:lineRule="auto"/>
        <w:ind w:left="-56"/>
        <w:jc w:val="both"/>
        <w:rPr>
          <w:rFonts w:ascii="Arial" w:eastAsia="Calibri" w:hAnsi="Arial"/>
          <w:b/>
          <w:bCs/>
          <w:sz w:val="24"/>
          <w:rtl/>
        </w:rPr>
      </w:pPr>
      <w:r w:rsidRPr="00512607">
        <w:rPr>
          <w:rFonts w:ascii="Arial" w:eastAsia="Calibri" w:hAnsi="Arial" w:hint="cs"/>
          <w:b/>
          <w:bCs/>
          <w:sz w:val="24"/>
          <w:rtl/>
        </w:rPr>
        <w:t xml:space="preserve">בית הדין דחה את תביעת הרופאה להכיר בה כעובדת הקופה ופסק כי על פי הפן החיובי של מבחן "ההשתלבות", יש להבחין בין השתלבות במעגל הפנימי של העיסוק לבין השתלבות במעגל החיצוני של העיסוק. בענייננו, הרופאה השתלבה בליבת פעילות הקופה, במעגל החיצוני בלבד כרופאה עצמאית, ולא כרופאה המועסקת במרפאות ובבתי חולים שבבעלות הקופה. כמו כן, הפן השלילי של </w:t>
      </w:r>
      <w:r w:rsidRPr="00512607">
        <w:rPr>
          <w:rFonts w:ascii="Arial" w:eastAsia="Calibri" w:hAnsi="Arial" w:hint="cs"/>
          <w:b/>
          <w:bCs/>
          <w:sz w:val="24"/>
          <w:rtl/>
        </w:rPr>
        <w:lastRenderedPageBreak/>
        <w:t>מבחן "ההשתלבות" אף אינו מתקיים מאחר והרופאה ניהלה מרפאה פרטית עצמאית, שלטה בהוצאותיה והכנסותיה, דיווחה כעצמאית, ועוד.</w:t>
      </w:r>
    </w:p>
    <w:p w:rsidR="000118BE" w:rsidRPr="00512607" w:rsidRDefault="000118BE" w:rsidP="00A8553B">
      <w:pPr>
        <w:tabs>
          <w:tab w:val="left" w:pos="-56"/>
        </w:tabs>
        <w:bidi/>
        <w:spacing w:line="360" w:lineRule="auto"/>
        <w:ind w:left="-56"/>
        <w:jc w:val="both"/>
        <w:rPr>
          <w:rFonts w:ascii="Arial" w:eastAsia="Calibri" w:hAnsi="Arial"/>
          <w:b/>
          <w:bCs/>
          <w:sz w:val="24"/>
          <w:rtl/>
        </w:rPr>
      </w:pPr>
      <w:r w:rsidRPr="00512607">
        <w:rPr>
          <w:rFonts w:ascii="Arial" w:eastAsia="Calibri" w:hAnsi="Arial" w:hint="cs"/>
          <w:b/>
          <w:bCs/>
          <w:sz w:val="24"/>
          <w:rtl/>
        </w:rPr>
        <w:t xml:space="preserve">בעניין התביעה לפיצויי הפיטורים, תכלית החוק היא לאפשר לעובד אשר מעבידו פיטר אותו, להתקיים בכבוד בפרק הזמן שבו הוא חסר פרנסה. כמו כן, על פי ההלכה הפסוקה זכויות של משפט העבודה, המגן והביטחון הסוציאלי מוענקות אף למי שאינו בא בגדר המבחנים המעידים על קיומם של יחסי עובד- מעביד. בענייננו, פסק בית הדין כי יש לראות ברופאה כעובדת לצורך קבלת פיצויי פיטורים, וזאת עקב הנסיבות החריגות: הרופאה הועסקה בקופת החולים 33 שנים ברציפות והוכח כי עיקר הכנסותיה הינן מהקופה. כמו כן, עם סיום ההתקשרות ביוזמת הקופה הכנסותיה פחתו עד אשר היא נאלצה לסגור את המרפאה. לפיכך, הקופה תשלם לרופאה פיצויי פיטורים בסך 330,000 ₪ וכן, הוצאות משפט בסך 50,000 ₪. </w:t>
      </w:r>
    </w:p>
    <w:p w:rsidR="000118BE" w:rsidRDefault="000118BE" w:rsidP="00A8553B">
      <w:pPr>
        <w:tabs>
          <w:tab w:val="left" w:pos="-56"/>
        </w:tabs>
        <w:bidi/>
        <w:spacing w:line="360" w:lineRule="auto"/>
        <w:ind w:left="-56"/>
        <w:jc w:val="both"/>
        <w:rPr>
          <w:rFonts w:ascii="Arial" w:eastAsia="Calibri" w:hAnsi="Arial"/>
          <w:b/>
          <w:bCs/>
          <w:sz w:val="22"/>
          <w:szCs w:val="22"/>
          <w:rtl/>
        </w:rPr>
      </w:pPr>
      <w:r w:rsidRPr="00512607">
        <w:rPr>
          <w:rFonts w:hint="cs"/>
          <w:sz w:val="22"/>
          <w:szCs w:val="22"/>
          <w:rtl/>
        </w:rPr>
        <w:t xml:space="preserve">סע (ב"ש) 47745-01-12 </w:t>
      </w:r>
      <w:r w:rsidRPr="00512607">
        <w:rPr>
          <w:color w:val="FF0000"/>
          <w:sz w:val="22"/>
          <w:szCs w:val="22"/>
        </w:rPr>
        <w:t>●</w:t>
      </w:r>
      <w:r w:rsidRPr="00512607">
        <w:rPr>
          <w:rFonts w:hint="cs"/>
          <w:b/>
          <w:bCs/>
          <w:sz w:val="22"/>
          <w:szCs w:val="22"/>
          <w:rtl/>
        </w:rPr>
        <w:t xml:space="preserve"> </w:t>
      </w:r>
      <w:r w:rsidRPr="00014E5E">
        <w:rPr>
          <w:rFonts w:hint="cs"/>
          <w:b/>
          <w:bCs/>
          <w:color w:val="FF0000"/>
          <w:sz w:val="22"/>
          <w:szCs w:val="22"/>
          <w:rtl/>
        </w:rPr>
        <w:t>ד"ר עדנה רוזנטל נ' קופת חולים מאוחדת</w:t>
      </w:r>
      <w:r w:rsidRPr="00014E5E">
        <w:rPr>
          <w:rFonts w:hint="cs"/>
          <w:color w:val="FF0000"/>
          <w:sz w:val="22"/>
          <w:szCs w:val="22"/>
          <w:rtl/>
        </w:rPr>
        <w:t xml:space="preserve"> </w:t>
      </w:r>
      <w:r w:rsidRPr="00512607">
        <w:rPr>
          <w:rFonts w:hint="cs"/>
          <w:sz w:val="22"/>
          <w:szCs w:val="22"/>
          <w:rtl/>
        </w:rPr>
        <w:t xml:space="preserve">(2.1.2014) </w:t>
      </w:r>
      <w:r w:rsidRPr="00512607">
        <w:rPr>
          <w:sz w:val="22"/>
          <w:szCs w:val="22"/>
        </w:rPr>
        <w:t xml:space="preserve"> </w:t>
      </w:r>
      <w:r w:rsidRPr="00512607">
        <w:rPr>
          <w:color w:val="FF0000"/>
          <w:sz w:val="22"/>
          <w:szCs w:val="22"/>
        </w:rPr>
        <w:t>●</w:t>
      </w:r>
      <w:r w:rsidRPr="00512607">
        <w:rPr>
          <w:rFonts w:hint="cs"/>
          <w:sz w:val="22"/>
          <w:szCs w:val="22"/>
          <w:rtl/>
        </w:rPr>
        <w:t>בפני כבוד השופט אילן סופר, נ.ע. גב' ורד הלל, נ.מ. מר נתן בורכוב</w:t>
      </w:r>
    </w:p>
    <w:p w:rsidR="00A45577" w:rsidRPr="00BD3500" w:rsidRDefault="00A45577" w:rsidP="00A45577">
      <w:pPr>
        <w:tabs>
          <w:tab w:val="left" w:pos="-56"/>
        </w:tabs>
        <w:bidi/>
        <w:spacing w:line="360" w:lineRule="auto"/>
        <w:ind w:left="-56"/>
        <w:jc w:val="both"/>
        <w:rPr>
          <w:rFonts w:ascii="Arial" w:eastAsia="Calibri" w:hAnsi="Arial"/>
          <w:b/>
          <w:bCs/>
          <w:color w:val="0000FF"/>
          <w:sz w:val="22"/>
          <w:szCs w:val="22"/>
          <w:rtl/>
        </w:rPr>
      </w:pPr>
    </w:p>
    <w:p w:rsidR="000118BE" w:rsidRPr="00BD3500" w:rsidRDefault="000118BE" w:rsidP="00A8553B">
      <w:pPr>
        <w:numPr>
          <w:ilvl w:val="0"/>
          <w:numId w:val="14"/>
        </w:numPr>
        <w:tabs>
          <w:tab w:val="left" w:pos="70"/>
          <w:tab w:val="num" w:pos="278"/>
        </w:tabs>
        <w:bidi/>
        <w:spacing w:line="360" w:lineRule="auto"/>
        <w:jc w:val="both"/>
        <w:rPr>
          <w:rFonts w:ascii="Arial" w:hAnsi="Arial"/>
          <w:b/>
          <w:bCs/>
          <w:color w:val="0000FF"/>
          <w:sz w:val="24"/>
          <w:u w:val="single"/>
        </w:rPr>
      </w:pPr>
      <w:r w:rsidRPr="00BD3500">
        <w:rPr>
          <w:rFonts w:ascii="Arial" w:hAnsi="Arial" w:hint="cs"/>
          <w:b/>
          <w:bCs/>
          <w:color w:val="0000FF"/>
          <w:sz w:val="24"/>
          <w:u w:val="single"/>
          <w:rtl/>
        </w:rPr>
        <w:t>נשללו פיצויי פיטורים ודמי הודעה מוקדמת ממנהל מכירות שגנב</w:t>
      </w:r>
    </w:p>
    <w:p w:rsidR="000118BE" w:rsidRPr="00012647" w:rsidRDefault="000118BE" w:rsidP="00A8553B">
      <w:pPr>
        <w:tabs>
          <w:tab w:val="left" w:pos="-316"/>
        </w:tabs>
        <w:bidi/>
        <w:spacing w:line="360" w:lineRule="auto"/>
        <w:ind w:left="-316" w:right="-180"/>
        <w:jc w:val="both"/>
        <w:rPr>
          <w:rFonts w:ascii="Arial" w:hAnsi="Arial"/>
          <w:b/>
          <w:bCs/>
          <w:sz w:val="24"/>
          <w:u w:val="single"/>
          <w:rtl/>
        </w:rPr>
      </w:pPr>
    </w:p>
    <w:p w:rsidR="000118BE" w:rsidRPr="006B0D78" w:rsidRDefault="000118BE" w:rsidP="00A8553B">
      <w:pPr>
        <w:tabs>
          <w:tab w:val="left" w:pos="-56"/>
        </w:tabs>
        <w:bidi/>
        <w:spacing w:line="360" w:lineRule="auto"/>
        <w:ind w:left="-56"/>
        <w:jc w:val="both"/>
        <w:rPr>
          <w:rFonts w:ascii="Arial" w:eastAsia="Calibri" w:hAnsi="Arial"/>
          <w:b/>
          <w:bCs/>
          <w:sz w:val="24"/>
          <w:rtl/>
        </w:rPr>
      </w:pPr>
      <w:r w:rsidRPr="006B0D78">
        <w:rPr>
          <w:rFonts w:ascii="Arial" w:eastAsia="Calibri" w:hAnsi="Arial" w:hint="cs"/>
          <w:b/>
          <w:bCs/>
          <w:sz w:val="24"/>
          <w:rtl/>
        </w:rPr>
        <w:t>חברת תה ויסוצקי החליטה להעניק מתנות לבתי העסק שרכשו ממנה מוצרים. התובע שעבד כמנהל מכירות, היה אמור למסור את המתנות לבתי העסק.</w:t>
      </w:r>
    </w:p>
    <w:p w:rsidR="000118BE" w:rsidRPr="006B0D78" w:rsidRDefault="000118BE" w:rsidP="00A8553B">
      <w:pPr>
        <w:tabs>
          <w:tab w:val="left" w:pos="-56"/>
        </w:tabs>
        <w:bidi/>
        <w:spacing w:line="360" w:lineRule="auto"/>
        <w:ind w:left="-56"/>
        <w:jc w:val="both"/>
        <w:rPr>
          <w:rFonts w:ascii="Arial" w:eastAsia="Calibri" w:hAnsi="Arial"/>
          <w:b/>
          <w:bCs/>
          <w:sz w:val="24"/>
          <w:rtl/>
        </w:rPr>
      </w:pPr>
      <w:r w:rsidRPr="006B0D78">
        <w:rPr>
          <w:rFonts w:ascii="Arial" w:eastAsia="Calibri" w:hAnsi="Arial" w:hint="cs"/>
          <w:b/>
          <w:bCs/>
          <w:sz w:val="24"/>
          <w:rtl/>
        </w:rPr>
        <w:t>לאחר שהתברר לחברה כי העובד נטל את המתנות לעצמו ולא העביר לבעלי העסקים, מסרה החברה הודעת פיטורים בכתב לעובד וטענה כי לאור נסיבות הפיטורים החמורות הוא אינו זכאי לפיצויי פיטורים או לכל תשלום אחר. התובע הגיש תביעה ותביעתו נדחיתה.</w:t>
      </w:r>
    </w:p>
    <w:p w:rsidR="000118BE" w:rsidRPr="006B0D78" w:rsidRDefault="000118BE" w:rsidP="00A8553B">
      <w:pPr>
        <w:tabs>
          <w:tab w:val="left" w:pos="-56"/>
        </w:tabs>
        <w:bidi/>
        <w:spacing w:line="360" w:lineRule="auto"/>
        <w:ind w:left="-56"/>
        <w:jc w:val="both"/>
        <w:rPr>
          <w:rFonts w:ascii="Arial" w:eastAsia="Calibri" w:hAnsi="Arial"/>
          <w:b/>
          <w:bCs/>
          <w:sz w:val="24"/>
          <w:rtl/>
        </w:rPr>
      </w:pPr>
      <w:r w:rsidRPr="006B0D78">
        <w:rPr>
          <w:rFonts w:ascii="Arial" w:eastAsia="Calibri" w:hAnsi="Arial" w:hint="cs"/>
          <w:b/>
          <w:bCs/>
          <w:sz w:val="24"/>
          <w:rtl/>
        </w:rPr>
        <w:t xml:space="preserve">על פי סעיף 17 לחוק פיצויי פיטורים, רשאי בית-הדין, בענף עבודה שאין בו הסכם קיבוצי, לקבוע שפיטוריו של עובד היו בנסיבות המצדיקות שלילת פיצויים. </w:t>
      </w:r>
    </w:p>
    <w:p w:rsidR="000118BE" w:rsidRPr="006B0D78" w:rsidRDefault="000118BE" w:rsidP="00A8553B">
      <w:pPr>
        <w:tabs>
          <w:tab w:val="left" w:pos="-56"/>
        </w:tabs>
        <w:bidi/>
        <w:spacing w:line="360" w:lineRule="auto"/>
        <w:ind w:left="-56"/>
        <w:jc w:val="both"/>
        <w:rPr>
          <w:rFonts w:ascii="Arial" w:eastAsia="Calibri" w:hAnsi="Arial"/>
          <w:b/>
          <w:bCs/>
          <w:sz w:val="24"/>
          <w:rtl/>
        </w:rPr>
      </w:pPr>
      <w:r w:rsidRPr="006B0D78">
        <w:rPr>
          <w:rFonts w:ascii="Arial" w:eastAsia="Calibri" w:hAnsi="Arial" w:hint="cs"/>
          <w:b/>
          <w:bCs/>
          <w:sz w:val="24"/>
          <w:rtl/>
        </w:rPr>
        <w:t>בבואו של בית הדין לשלול פיצויי פיטורים יבחן שיקולים כלהלן: חומרת המעשים בגינם פוטר העובד, היקף הנזק שנגרם למעביד, תפקידו של העובד, מידת האמון הנגזרת ממנו ועוד.</w:t>
      </w:r>
    </w:p>
    <w:p w:rsidR="000118BE" w:rsidRPr="00512607" w:rsidRDefault="000118BE" w:rsidP="00A8553B">
      <w:pPr>
        <w:tabs>
          <w:tab w:val="left" w:pos="-56"/>
        </w:tabs>
        <w:bidi/>
        <w:spacing w:line="360" w:lineRule="auto"/>
        <w:ind w:left="-56"/>
        <w:jc w:val="both"/>
        <w:rPr>
          <w:rFonts w:ascii="Arial" w:eastAsia="Calibri" w:hAnsi="Arial"/>
          <w:b/>
          <w:bCs/>
          <w:sz w:val="24"/>
          <w:rtl/>
        </w:rPr>
      </w:pPr>
      <w:r w:rsidRPr="006B0D78">
        <w:rPr>
          <w:rFonts w:ascii="Arial" w:eastAsia="Calibri" w:hAnsi="Arial" w:hint="cs"/>
          <w:b/>
          <w:bCs/>
          <w:sz w:val="24"/>
          <w:rtl/>
        </w:rPr>
        <w:t xml:space="preserve">בענייננו, בית הדין דחה את תביעת מנהל המכירות במלואה והצדיק את שלילת מלוא פיצויי הפיטורים וכן תשלום בעבור הודעה מוקדמת ואף חייב את העובד בהוצאות משפט בסך 15,000 </w:t>
      </w:r>
      <w:r>
        <w:rPr>
          <w:rFonts w:ascii="Arial" w:eastAsia="Calibri" w:hAnsi="Arial" w:hint="cs"/>
          <w:b/>
          <w:bCs/>
          <w:sz w:val="24"/>
          <w:rtl/>
        </w:rPr>
        <w:t>₪.</w:t>
      </w:r>
    </w:p>
    <w:p w:rsidR="000118BE" w:rsidRDefault="000118BE" w:rsidP="00A8553B">
      <w:pPr>
        <w:tabs>
          <w:tab w:val="left" w:pos="-56"/>
        </w:tabs>
        <w:bidi/>
        <w:spacing w:line="360" w:lineRule="auto"/>
        <w:ind w:left="-56"/>
        <w:jc w:val="both"/>
        <w:rPr>
          <w:sz w:val="22"/>
          <w:szCs w:val="22"/>
          <w:rtl/>
        </w:rPr>
      </w:pPr>
      <w:r w:rsidRPr="00065C5D">
        <w:rPr>
          <w:rFonts w:hint="cs"/>
          <w:color w:val="000000"/>
          <w:sz w:val="22"/>
          <w:szCs w:val="22"/>
          <w:rtl/>
        </w:rPr>
        <w:t xml:space="preserve">תע"א (ת"א) </w:t>
      </w:r>
      <w:r w:rsidRPr="00065C5D">
        <w:rPr>
          <w:color w:val="000000"/>
          <w:sz w:val="22"/>
          <w:szCs w:val="22"/>
          <w:rtl/>
        </w:rPr>
        <w:t xml:space="preserve"> </w:t>
      </w:r>
      <w:r w:rsidRPr="00065C5D">
        <w:rPr>
          <w:rFonts w:hint="cs"/>
          <w:color w:val="000000"/>
          <w:sz w:val="22"/>
          <w:szCs w:val="22"/>
          <w:rtl/>
        </w:rPr>
        <w:t xml:space="preserve">5744/07 </w:t>
      </w:r>
      <w:r w:rsidRPr="00FA0CEB">
        <w:rPr>
          <w:rFonts w:ascii="Arial" w:hAnsi="Arial" w:cs="Arial"/>
          <w:color w:val="FF0000"/>
          <w:sz w:val="22"/>
          <w:szCs w:val="22"/>
        </w:rPr>
        <w:t>●</w:t>
      </w:r>
      <w:r w:rsidRPr="00065C5D">
        <w:rPr>
          <w:rFonts w:hint="cs"/>
          <w:b/>
          <w:bCs/>
          <w:sz w:val="22"/>
          <w:szCs w:val="22"/>
          <w:rtl/>
        </w:rPr>
        <w:t xml:space="preserve"> </w:t>
      </w:r>
      <w:r w:rsidRPr="00014E5E">
        <w:rPr>
          <w:rFonts w:hint="cs"/>
          <w:b/>
          <w:bCs/>
          <w:color w:val="FF0000"/>
          <w:sz w:val="22"/>
          <w:szCs w:val="22"/>
          <w:rtl/>
        </w:rPr>
        <w:t>בר דותן נ' תה ויסוצקי ישראל בע"מ</w:t>
      </w:r>
      <w:r w:rsidRPr="00014E5E">
        <w:rPr>
          <w:rFonts w:hint="cs"/>
          <w:color w:val="FF0000"/>
          <w:sz w:val="22"/>
          <w:szCs w:val="22"/>
          <w:rtl/>
        </w:rPr>
        <w:t xml:space="preserve"> </w:t>
      </w:r>
      <w:r w:rsidRPr="00065C5D">
        <w:rPr>
          <w:rFonts w:hint="cs"/>
          <w:sz w:val="22"/>
          <w:szCs w:val="22"/>
          <w:rtl/>
        </w:rPr>
        <w:t xml:space="preserve">(14.10.13) </w:t>
      </w:r>
      <w:r w:rsidRPr="00065C5D">
        <w:rPr>
          <w:sz w:val="22"/>
          <w:szCs w:val="22"/>
        </w:rPr>
        <w:t xml:space="preserve"> </w:t>
      </w:r>
      <w:r w:rsidRPr="00FA0CEB">
        <w:rPr>
          <w:rFonts w:ascii="Arial" w:hAnsi="Arial" w:cs="Arial"/>
          <w:color w:val="FF0000"/>
          <w:sz w:val="22"/>
          <w:szCs w:val="22"/>
        </w:rPr>
        <w:t>●</w:t>
      </w:r>
      <w:r w:rsidRPr="00065C5D">
        <w:rPr>
          <w:rFonts w:hint="cs"/>
          <w:sz w:val="22"/>
          <w:szCs w:val="22"/>
          <w:rtl/>
        </w:rPr>
        <w:t xml:space="preserve">בפני כבוד השופטת נטע רות, נ.מ. מר אורי שלוש, נ.ע. מר יוסף קרצ'ר </w:t>
      </w:r>
    </w:p>
    <w:p w:rsidR="000118BE" w:rsidRDefault="000118BE" w:rsidP="00A8553B">
      <w:pPr>
        <w:tabs>
          <w:tab w:val="left" w:pos="-56"/>
        </w:tabs>
        <w:bidi/>
        <w:spacing w:line="360" w:lineRule="auto"/>
        <w:ind w:left="-56"/>
        <w:jc w:val="both"/>
        <w:rPr>
          <w:sz w:val="22"/>
          <w:szCs w:val="22"/>
          <w:rtl/>
        </w:rPr>
      </w:pPr>
    </w:p>
    <w:p w:rsidR="00E17AA3" w:rsidRDefault="00E17AA3" w:rsidP="00E17AA3">
      <w:pPr>
        <w:tabs>
          <w:tab w:val="left" w:pos="-56"/>
        </w:tabs>
        <w:bidi/>
        <w:spacing w:line="360" w:lineRule="auto"/>
        <w:ind w:left="-56"/>
        <w:jc w:val="both"/>
        <w:rPr>
          <w:sz w:val="22"/>
          <w:szCs w:val="22"/>
          <w:rtl/>
        </w:rPr>
      </w:pPr>
    </w:p>
    <w:p w:rsidR="00E17AA3" w:rsidRDefault="00E17AA3" w:rsidP="00E17AA3">
      <w:pPr>
        <w:tabs>
          <w:tab w:val="left" w:pos="-56"/>
        </w:tabs>
        <w:bidi/>
        <w:spacing w:line="360" w:lineRule="auto"/>
        <w:ind w:left="-56"/>
        <w:jc w:val="both"/>
        <w:rPr>
          <w:sz w:val="22"/>
          <w:szCs w:val="22"/>
          <w:rtl/>
        </w:rPr>
      </w:pPr>
    </w:p>
    <w:p w:rsidR="00E17AA3" w:rsidRDefault="00E17AA3" w:rsidP="00E17AA3">
      <w:pPr>
        <w:tabs>
          <w:tab w:val="left" w:pos="-56"/>
        </w:tabs>
        <w:bidi/>
        <w:spacing w:line="360" w:lineRule="auto"/>
        <w:ind w:left="-56"/>
        <w:jc w:val="both"/>
        <w:rPr>
          <w:sz w:val="22"/>
          <w:szCs w:val="22"/>
          <w:rtl/>
        </w:rPr>
      </w:pPr>
    </w:p>
    <w:p w:rsidR="00E17AA3" w:rsidRDefault="00E17AA3" w:rsidP="00E17AA3">
      <w:pPr>
        <w:tabs>
          <w:tab w:val="left" w:pos="-56"/>
        </w:tabs>
        <w:bidi/>
        <w:spacing w:line="360" w:lineRule="auto"/>
        <w:ind w:left="-56"/>
        <w:jc w:val="both"/>
        <w:rPr>
          <w:sz w:val="22"/>
          <w:szCs w:val="22"/>
          <w:rtl/>
        </w:rPr>
      </w:pPr>
    </w:p>
    <w:p w:rsidR="00E17AA3" w:rsidRDefault="00E17AA3" w:rsidP="00E17AA3">
      <w:pPr>
        <w:tabs>
          <w:tab w:val="left" w:pos="-56"/>
        </w:tabs>
        <w:bidi/>
        <w:spacing w:line="360" w:lineRule="auto"/>
        <w:ind w:left="-56"/>
        <w:jc w:val="both"/>
        <w:rPr>
          <w:sz w:val="22"/>
          <w:szCs w:val="22"/>
          <w:rtl/>
        </w:rPr>
      </w:pPr>
    </w:p>
    <w:p w:rsidR="00E17AA3" w:rsidRDefault="00E17AA3" w:rsidP="00E17AA3">
      <w:pPr>
        <w:tabs>
          <w:tab w:val="left" w:pos="-56"/>
        </w:tabs>
        <w:bidi/>
        <w:spacing w:line="360" w:lineRule="auto"/>
        <w:ind w:left="-56"/>
        <w:jc w:val="both"/>
        <w:rPr>
          <w:sz w:val="22"/>
          <w:szCs w:val="22"/>
          <w:rtl/>
        </w:rPr>
      </w:pPr>
    </w:p>
    <w:p w:rsidR="000118BE" w:rsidRPr="00BD3500" w:rsidRDefault="000118BE" w:rsidP="00A8553B">
      <w:pPr>
        <w:numPr>
          <w:ilvl w:val="0"/>
          <w:numId w:val="14"/>
        </w:numPr>
        <w:tabs>
          <w:tab w:val="left" w:pos="70"/>
          <w:tab w:val="num" w:pos="278"/>
        </w:tabs>
        <w:bidi/>
        <w:spacing w:line="360" w:lineRule="auto"/>
        <w:jc w:val="both"/>
        <w:rPr>
          <w:rFonts w:ascii="Arial" w:hAnsi="Arial"/>
          <w:b/>
          <w:bCs/>
          <w:color w:val="0000FF"/>
          <w:sz w:val="24"/>
          <w:u w:val="single"/>
        </w:rPr>
      </w:pPr>
      <w:r w:rsidRPr="00BD3500">
        <w:rPr>
          <w:rFonts w:ascii="Arial" w:hAnsi="Arial" w:hint="cs"/>
          <w:b/>
          <w:bCs/>
          <w:color w:val="0000FF"/>
          <w:sz w:val="24"/>
          <w:u w:val="single"/>
          <w:rtl/>
        </w:rPr>
        <w:lastRenderedPageBreak/>
        <w:t>פוצה עובד שקרן שפוטר בעילה מלאכותית של "משבר אמון" - שאיננה מילת קסם להצדקת פיטורים</w:t>
      </w:r>
    </w:p>
    <w:p w:rsidR="000118BE" w:rsidRPr="00012647" w:rsidRDefault="000118BE" w:rsidP="00A8553B">
      <w:pPr>
        <w:tabs>
          <w:tab w:val="left" w:pos="-316"/>
        </w:tabs>
        <w:bidi/>
        <w:spacing w:line="360" w:lineRule="auto"/>
        <w:ind w:left="-316" w:right="-180"/>
        <w:jc w:val="both"/>
        <w:rPr>
          <w:rFonts w:ascii="Arial" w:hAnsi="Arial"/>
          <w:b/>
          <w:bCs/>
          <w:sz w:val="24"/>
          <w:u w:val="single"/>
          <w:rtl/>
        </w:rPr>
      </w:pPr>
    </w:p>
    <w:p w:rsidR="000118BE" w:rsidRPr="00EB48B9" w:rsidRDefault="000118BE" w:rsidP="00A8553B">
      <w:pPr>
        <w:tabs>
          <w:tab w:val="left" w:pos="-56"/>
        </w:tabs>
        <w:bidi/>
        <w:spacing w:line="360" w:lineRule="auto"/>
        <w:ind w:left="-56"/>
        <w:jc w:val="both"/>
        <w:rPr>
          <w:rFonts w:ascii="Arial" w:eastAsia="Calibri" w:hAnsi="Arial"/>
          <w:b/>
          <w:bCs/>
          <w:sz w:val="24"/>
          <w:rtl/>
        </w:rPr>
      </w:pPr>
      <w:r w:rsidRPr="00EB48B9">
        <w:rPr>
          <w:rFonts w:ascii="Arial" w:eastAsia="Calibri" w:hAnsi="Arial"/>
          <w:b/>
          <w:bCs/>
          <w:sz w:val="24"/>
          <w:rtl/>
        </w:rPr>
        <w:t xml:space="preserve">בית הדין קיבל ברובה תביעת עובד לפיצוי בגין פיטורים שלא כדין, וקבע כי גילוי העובדה שהתובע "הצעיר" את גילו בעשר שנים בקורות החיים ואף דבק בשקר במשך שלוש וחצי שנים, לא היתה העילה לפיטוריו של התובע אלא כיסוי לעילות האמיתיות שעמדו ביסוד פיטוריו. </w:t>
      </w:r>
    </w:p>
    <w:p w:rsidR="000118BE" w:rsidRPr="00EB48B9" w:rsidRDefault="000118BE" w:rsidP="00A8553B">
      <w:pPr>
        <w:tabs>
          <w:tab w:val="left" w:pos="-56"/>
        </w:tabs>
        <w:bidi/>
        <w:spacing w:line="360" w:lineRule="auto"/>
        <w:ind w:left="-56"/>
        <w:jc w:val="both"/>
        <w:rPr>
          <w:rFonts w:ascii="Arial" w:eastAsia="Calibri" w:hAnsi="Arial"/>
          <w:b/>
          <w:bCs/>
          <w:sz w:val="24"/>
          <w:rtl/>
        </w:rPr>
      </w:pPr>
      <w:r w:rsidRPr="00EB48B9">
        <w:rPr>
          <w:rFonts w:ascii="Arial" w:eastAsia="Calibri" w:hAnsi="Arial"/>
          <w:b/>
          <w:bCs/>
          <w:sz w:val="24"/>
          <w:rtl/>
        </w:rPr>
        <w:t xml:space="preserve">התובע, כיום בן 63, לא הצליח מזה זמן רב להתקבל למקומות עבודה ואי לכך החליט לשנות את קורות חייו ו"להצעיר" את גילו ב- 10 שנים, כך שיופיע בהם כי הוא בן 46 שנים במקום 56 (גילו האמיתי דאז). בהתאמה, שינה התובע גם את תקופת שירותו הצבאי, מספרו האישי ומועדים נוספים בקורות החיים במטרה למנוע סתירה פנימית בין הנתונים השונים. לבסוף, התקבל התובע לעבוד במכללה כמנהל רשת המחשוב. במהלך עבודתו מילא התובע טפסים שונים וגם בהם מסר פרטים סותרים. </w:t>
      </w:r>
    </w:p>
    <w:p w:rsidR="000118BE" w:rsidRPr="00EB48B9" w:rsidRDefault="000118BE" w:rsidP="00A8553B">
      <w:pPr>
        <w:tabs>
          <w:tab w:val="left" w:pos="-56"/>
        </w:tabs>
        <w:bidi/>
        <w:spacing w:line="360" w:lineRule="auto"/>
        <w:ind w:left="-56"/>
        <w:jc w:val="both"/>
        <w:rPr>
          <w:rFonts w:ascii="Arial" w:eastAsia="Calibri" w:hAnsi="Arial"/>
          <w:b/>
          <w:bCs/>
          <w:sz w:val="24"/>
          <w:rtl/>
        </w:rPr>
      </w:pPr>
      <w:r w:rsidRPr="00EB48B9">
        <w:rPr>
          <w:rFonts w:ascii="Arial" w:eastAsia="Calibri" w:hAnsi="Arial"/>
          <w:b/>
          <w:bCs/>
          <w:sz w:val="24"/>
          <w:rtl/>
        </w:rPr>
        <w:t xml:space="preserve">המכללה טענה כי התובע פוטר על רקע משבר אמון שנולד כתוצאה מחשיפת העובדה כי שיקר בקורות החיים בקשר עם גילו. ואולם, בית הדין הגיע למסקנה כי השקר בעניין גילו של התובע התגלה על רקע יחסים עכורים בין התובע למכללה מתוך רצון של מעסיקו להביא לפיטוריו וכי השימוש בגילוי השקר נעשה ככיסוי לרצונו של </w:t>
      </w:r>
      <w:r w:rsidRPr="00EB48B9">
        <w:rPr>
          <w:rFonts w:ascii="Arial" w:eastAsia="Calibri" w:hAnsi="Arial" w:hint="cs"/>
          <w:b/>
          <w:bCs/>
          <w:sz w:val="24"/>
          <w:rtl/>
        </w:rPr>
        <w:t>המעסיק</w:t>
      </w:r>
      <w:r w:rsidRPr="00EB48B9">
        <w:rPr>
          <w:rFonts w:ascii="Arial" w:eastAsia="Calibri" w:hAnsi="Arial"/>
          <w:b/>
          <w:bCs/>
          <w:sz w:val="24"/>
          <w:rtl/>
        </w:rPr>
        <w:t xml:space="preserve"> לפטר את התובע עוד קודם לגילוי השקר. לא הוכח כי המעסיק גילה באופן מפתיע כי התובע שיקר בעניין הגיל ואז חיפש תימוכין לכך בתיקו האישי, אלא להיפך - החיפוש בקורות החיים נעשה ע"י המעסיק כדי לחפש משהו אשר יכתים אותו. </w:t>
      </w:r>
    </w:p>
    <w:p w:rsidR="000118BE" w:rsidRPr="00EB48B9" w:rsidRDefault="000118BE" w:rsidP="00A8553B">
      <w:pPr>
        <w:tabs>
          <w:tab w:val="left" w:pos="-56"/>
        </w:tabs>
        <w:bidi/>
        <w:spacing w:line="360" w:lineRule="auto"/>
        <w:ind w:left="-56"/>
        <w:jc w:val="both"/>
        <w:rPr>
          <w:rFonts w:ascii="Arial" w:eastAsia="Calibri" w:hAnsi="Arial"/>
          <w:b/>
          <w:bCs/>
          <w:sz w:val="24"/>
          <w:rtl/>
        </w:rPr>
      </w:pPr>
      <w:r w:rsidRPr="00EB48B9">
        <w:rPr>
          <w:rFonts w:ascii="Arial" w:eastAsia="Calibri" w:hAnsi="Arial"/>
          <w:b/>
          <w:bCs/>
          <w:sz w:val="24"/>
          <w:rtl/>
        </w:rPr>
        <w:t xml:space="preserve">בית הדין קבע, כי בנסיבות </w:t>
      </w:r>
      <w:r w:rsidRPr="00EB48B9">
        <w:rPr>
          <w:rFonts w:ascii="Arial" w:eastAsia="Calibri" w:hAnsi="Arial" w:hint="cs"/>
          <w:b/>
          <w:bCs/>
          <w:sz w:val="24"/>
          <w:rtl/>
        </w:rPr>
        <w:t xml:space="preserve">אלה, במיוחד </w:t>
      </w:r>
      <w:r w:rsidRPr="00EB48B9">
        <w:rPr>
          <w:rFonts w:ascii="Arial" w:eastAsia="Calibri" w:hAnsi="Arial"/>
          <w:b/>
          <w:bCs/>
          <w:sz w:val="24"/>
          <w:rtl/>
        </w:rPr>
        <w:t>לאור שביעות הרצון מעבודתו של התובע שנמשכה שלוש וחצי שנים ועל רקע מערכת היחסים העכורה עם מעסיקו</w:t>
      </w:r>
      <w:r w:rsidRPr="00EB48B9">
        <w:rPr>
          <w:rFonts w:ascii="Arial" w:eastAsia="Calibri" w:hAnsi="Arial" w:hint="cs"/>
          <w:b/>
          <w:bCs/>
          <w:sz w:val="24"/>
          <w:rtl/>
        </w:rPr>
        <w:t xml:space="preserve">, </w:t>
      </w:r>
      <w:r w:rsidRPr="00EB48B9">
        <w:rPr>
          <w:rFonts w:ascii="Arial" w:eastAsia="Calibri" w:hAnsi="Arial"/>
          <w:b/>
          <w:bCs/>
          <w:sz w:val="24"/>
          <w:rtl/>
        </w:rPr>
        <w:t>מוטל על המעסיק נטל כבד יותר להוכיח כי גילוי העובדה שהעובד שיקר בעניין גילו אכן הביא למשבר אמון ולפיטורים</w:t>
      </w:r>
      <w:r w:rsidRPr="00EB48B9">
        <w:rPr>
          <w:rFonts w:ascii="Arial" w:eastAsia="Calibri" w:hAnsi="Arial" w:hint="cs"/>
          <w:b/>
          <w:bCs/>
          <w:sz w:val="24"/>
          <w:rtl/>
        </w:rPr>
        <w:t xml:space="preserve"> </w:t>
      </w:r>
      <w:r w:rsidRPr="00EB48B9">
        <w:rPr>
          <w:rFonts w:ascii="Arial" w:eastAsia="Calibri" w:hAnsi="Arial"/>
          <w:b/>
          <w:bCs/>
          <w:sz w:val="24"/>
          <w:rtl/>
        </w:rPr>
        <w:t xml:space="preserve">ובענייננו הנתבעת לא עמדה בו. "משבר אמון" אינה מילת קסם ויש לבחון בעיניים אובייקטיביות האם אין בנימוק זה כיסוי לחוסר תום לב או מניעים זרים בפעולות המעסיק. </w:t>
      </w:r>
    </w:p>
    <w:p w:rsidR="000118BE" w:rsidRPr="00EB48B9" w:rsidRDefault="000118BE" w:rsidP="00A8553B">
      <w:pPr>
        <w:tabs>
          <w:tab w:val="left" w:pos="-56"/>
        </w:tabs>
        <w:bidi/>
        <w:spacing w:line="360" w:lineRule="auto"/>
        <w:ind w:left="-56"/>
        <w:jc w:val="both"/>
        <w:rPr>
          <w:rFonts w:ascii="Arial" w:eastAsia="Calibri" w:hAnsi="Arial"/>
          <w:b/>
          <w:bCs/>
          <w:sz w:val="24"/>
          <w:rtl/>
        </w:rPr>
      </w:pPr>
      <w:r w:rsidRPr="00EB48B9">
        <w:rPr>
          <w:rFonts w:ascii="Arial" w:eastAsia="Calibri" w:hAnsi="Arial"/>
          <w:b/>
          <w:bCs/>
          <w:sz w:val="24"/>
          <w:rtl/>
        </w:rPr>
        <w:t xml:space="preserve">בית הדין הדגיש, כי בנסיבות אחרות יתכן ועילה זו (סילוף קורות חיים) כשלעצמה תגרום למשבר אמון ואף לפיטורים. בנוסף, </w:t>
      </w:r>
      <w:r w:rsidRPr="00EB48B9">
        <w:rPr>
          <w:rFonts w:ascii="Arial" w:eastAsia="Calibri" w:hAnsi="Arial" w:hint="cs"/>
          <w:b/>
          <w:bCs/>
          <w:sz w:val="24"/>
          <w:rtl/>
        </w:rPr>
        <w:t xml:space="preserve">הודגש כי </w:t>
      </w:r>
      <w:r w:rsidRPr="00EB48B9">
        <w:rPr>
          <w:rFonts w:ascii="Arial" w:eastAsia="Calibri" w:hAnsi="Arial"/>
          <w:b/>
          <w:bCs/>
          <w:sz w:val="24"/>
          <w:rtl/>
        </w:rPr>
        <w:t xml:space="preserve">העובדה שתוכנו של השקר הוא שינוי גילו של העובד אינה מכתימה את הפיטורים באפליה מחמת גיל. </w:t>
      </w:r>
    </w:p>
    <w:p w:rsidR="000118BE" w:rsidRPr="00EB48B9" w:rsidRDefault="000118BE" w:rsidP="00A8553B">
      <w:pPr>
        <w:tabs>
          <w:tab w:val="left" w:pos="-56"/>
        </w:tabs>
        <w:bidi/>
        <w:spacing w:line="360" w:lineRule="auto"/>
        <w:ind w:left="-56"/>
        <w:jc w:val="both"/>
        <w:rPr>
          <w:rFonts w:ascii="Arial" w:eastAsia="Calibri" w:hAnsi="Arial"/>
          <w:b/>
          <w:bCs/>
          <w:sz w:val="24"/>
          <w:rtl/>
        </w:rPr>
      </w:pPr>
      <w:r w:rsidRPr="00EB48B9">
        <w:rPr>
          <w:rFonts w:ascii="Arial" w:eastAsia="Calibri" w:hAnsi="Arial"/>
          <w:b/>
          <w:bCs/>
          <w:sz w:val="24"/>
          <w:rtl/>
        </w:rPr>
        <w:t xml:space="preserve">בפסיקת גובה הפיצויים, לקח בית הדין בחשבון את העובדה שהתובע שיקר בנוגע לגילו. הגם שהשקר לא היה רלבנטי לקבלתו של התובע לעבודה, הוא הופך רלבנטי למועד סיום העבודה, שכן היה התובע לא היה מפוטר, היה מודיע על הגיעו לגיל פרישה 10 שנים מוקדם יותר מהמועד הצפוי. </w:t>
      </w:r>
    </w:p>
    <w:p w:rsidR="000118BE" w:rsidRDefault="000118BE" w:rsidP="00A8553B">
      <w:pPr>
        <w:tabs>
          <w:tab w:val="left" w:pos="-56"/>
        </w:tabs>
        <w:bidi/>
        <w:spacing w:line="360" w:lineRule="auto"/>
        <w:ind w:left="-56"/>
        <w:jc w:val="both"/>
        <w:rPr>
          <w:rFonts w:ascii="Arial" w:eastAsia="Calibri" w:hAnsi="Arial"/>
          <w:b/>
          <w:bCs/>
          <w:sz w:val="24"/>
          <w:rtl/>
        </w:rPr>
      </w:pPr>
      <w:r w:rsidRPr="00EB48B9">
        <w:rPr>
          <w:rFonts w:ascii="Arial" w:eastAsia="Calibri" w:hAnsi="Arial"/>
          <w:b/>
          <w:bCs/>
          <w:sz w:val="24"/>
          <w:rtl/>
        </w:rPr>
        <w:t>משכך, נפסקו לתובע פיצויים בגין פיטורים שלא כדין בגובה 7 משכורות, בסך של 91,000 ₪ והוצאות בסך של 20,000 ₪.</w:t>
      </w:r>
    </w:p>
    <w:p w:rsidR="000118BE" w:rsidRDefault="000118BE" w:rsidP="00A8553B">
      <w:pPr>
        <w:tabs>
          <w:tab w:val="left" w:pos="-56"/>
        </w:tabs>
        <w:bidi/>
        <w:spacing w:line="360" w:lineRule="auto"/>
        <w:ind w:left="-56"/>
        <w:jc w:val="both"/>
        <w:rPr>
          <w:rFonts w:ascii="Arial" w:eastAsia="Calibri" w:hAnsi="Arial"/>
          <w:b/>
          <w:bCs/>
          <w:sz w:val="22"/>
          <w:szCs w:val="22"/>
          <w:rtl/>
        </w:rPr>
      </w:pPr>
      <w:r w:rsidRPr="005453E9">
        <w:rPr>
          <w:color w:val="000000"/>
          <w:sz w:val="22"/>
          <w:szCs w:val="22"/>
          <w:rtl/>
        </w:rPr>
        <w:t>תעא (ת"א) 4592</w:t>
      </w:r>
      <w:r w:rsidRPr="005453E9">
        <w:rPr>
          <w:rFonts w:hint="cs"/>
          <w:color w:val="000000"/>
          <w:sz w:val="22"/>
          <w:szCs w:val="22"/>
          <w:rtl/>
        </w:rPr>
        <w:t>/</w:t>
      </w:r>
      <w:r w:rsidRPr="005453E9">
        <w:rPr>
          <w:color w:val="000000"/>
          <w:sz w:val="22"/>
          <w:szCs w:val="22"/>
          <w:rtl/>
        </w:rPr>
        <w:t>10</w:t>
      </w:r>
      <w:r w:rsidRPr="005453E9">
        <w:rPr>
          <w:rFonts w:hint="cs"/>
          <w:sz w:val="22"/>
          <w:szCs w:val="22"/>
          <w:rtl/>
        </w:rPr>
        <w:t xml:space="preserve"> </w:t>
      </w:r>
      <w:r w:rsidRPr="00FA0CEB">
        <w:rPr>
          <w:rFonts w:ascii="Arial" w:hAnsi="Arial" w:cs="Arial"/>
          <w:color w:val="FF0000"/>
          <w:sz w:val="22"/>
          <w:szCs w:val="22"/>
        </w:rPr>
        <w:t>●</w:t>
      </w:r>
      <w:r w:rsidRPr="005453E9">
        <w:rPr>
          <w:rFonts w:hint="cs"/>
          <w:b/>
          <w:bCs/>
          <w:sz w:val="22"/>
          <w:szCs w:val="22"/>
          <w:rtl/>
        </w:rPr>
        <w:t xml:space="preserve"> </w:t>
      </w:r>
      <w:r w:rsidRPr="00014E5E">
        <w:rPr>
          <w:b/>
          <w:bCs/>
          <w:color w:val="FF0000"/>
          <w:sz w:val="22"/>
          <w:szCs w:val="22"/>
          <w:rtl/>
        </w:rPr>
        <w:t>קורן שרגא נ' המכללה לחינוך גופני וספורט ע"ש זינמן</w:t>
      </w:r>
      <w:r w:rsidRPr="00014E5E">
        <w:rPr>
          <w:rFonts w:hint="cs"/>
          <w:color w:val="FF0000"/>
          <w:sz w:val="22"/>
          <w:szCs w:val="22"/>
          <w:rtl/>
        </w:rPr>
        <w:t xml:space="preserve">  </w:t>
      </w:r>
      <w:r w:rsidRPr="005453E9">
        <w:rPr>
          <w:rFonts w:hint="cs"/>
          <w:sz w:val="22"/>
          <w:szCs w:val="22"/>
          <w:rtl/>
        </w:rPr>
        <w:t xml:space="preserve">(20.10.13) </w:t>
      </w:r>
      <w:r w:rsidRPr="00FA0CEB">
        <w:rPr>
          <w:rFonts w:ascii="Arial" w:hAnsi="Arial" w:cs="Arial"/>
          <w:color w:val="FF0000"/>
          <w:sz w:val="22"/>
          <w:szCs w:val="22"/>
        </w:rPr>
        <w:t>●</w:t>
      </w:r>
      <w:r w:rsidRPr="005453E9">
        <w:rPr>
          <w:rFonts w:hint="cs"/>
          <w:sz w:val="22"/>
          <w:szCs w:val="22"/>
          <w:rtl/>
        </w:rPr>
        <w:t xml:space="preserve"> בפני כבוד השופטת חנה טרכטינגוט, נ.ע. מר יוסף קרצ'ר, נ.מ. מר איתן ליברוט</w:t>
      </w:r>
    </w:p>
    <w:p w:rsidR="000118BE" w:rsidRDefault="000118BE" w:rsidP="00A8553B">
      <w:pPr>
        <w:tabs>
          <w:tab w:val="left" w:pos="-56"/>
        </w:tabs>
        <w:bidi/>
        <w:spacing w:line="360" w:lineRule="auto"/>
        <w:ind w:left="-56"/>
        <w:jc w:val="both"/>
        <w:rPr>
          <w:rFonts w:ascii="Arial" w:eastAsia="Calibri" w:hAnsi="Arial"/>
          <w:b/>
          <w:bCs/>
          <w:sz w:val="22"/>
          <w:szCs w:val="22"/>
          <w:rtl/>
        </w:rPr>
      </w:pPr>
    </w:p>
    <w:p w:rsidR="00E17AA3" w:rsidRDefault="00E17AA3" w:rsidP="00E17AA3">
      <w:pPr>
        <w:tabs>
          <w:tab w:val="left" w:pos="-56"/>
        </w:tabs>
        <w:bidi/>
        <w:spacing w:line="360" w:lineRule="auto"/>
        <w:ind w:left="-56"/>
        <w:jc w:val="both"/>
        <w:rPr>
          <w:rFonts w:ascii="Arial" w:eastAsia="Calibri" w:hAnsi="Arial"/>
          <w:b/>
          <w:bCs/>
          <w:sz w:val="22"/>
          <w:szCs w:val="22"/>
          <w:rtl/>
        </w:rPr>
      </w:pPr>
    </w:p>
    <w:p w:rsidR="00E17AA3" w:rsidRDefault="00E17AA3" w:rsidP="00E17AA3">
      <w:pPr>
        <w:tabs>
          <w:tab w:val="left" w:pos="-56"/>
        </w:tabs>
        <w:bidi/>
        <w:spacing w:line="360" w:lineRule="auto"/>
        <w:ind w:left="-56"/>
        <w:jc w:val="both"/>
        <w:rPr>
          <w:rFonts w:ascii="Arial" w:eastAsia="Calibri" w:hAnsi="Arial"/>
          <w:b/>
          <w:bCs/>
          <w:sz w:val="22"/>
          <w:szCs w:val="22"/>
          <w:rtl/>
        </w:rPr>
      </w:pPr>
    </w:p>
    <w:p w:rsidR="00E17AA3" w:rsidRDefault="00E17AA3" w:rsidP="00E17AA3">
      <w:pPr>
        <w:tabs>
          <w:tab w:val="left" w:pos="-56"/>
        </w:tabs>
        <w:bidi/>
        <w:spacing w:line="360" w:lineRule="auto"/>
        <w:ind w:left="-56"/>
        <w:jc w:val="both"/>
        <w:rPr>
          <w:rFonts w:ascii="Arial" w:eastAsia="Calibri" w:hAnsi="Arial"/>
          <w:b/>
          <w:bCs/>
          <w:sz w:val="22"/>
          <w:szCs w:val="22"/>
          <w:rtl/>
        </w:rPr>
      </w:pPr>
    </w:p>
    <w:p w:rsidR="000118BE" w:rsidRPr="00BD3500" w:rsidRDefault="000118BE" w:rsidP="00A8553B">
      <w:pPr>
        <w:numPr>
          <w:ilvl w:val="0"/>
          <w:numId w:val="14"/>
        </w:numPr>
        <w:tabs>
          <w:tab w:val="left" w:pos="70"/>
          <w:tab w:val="num" w:pos="278"/>
        </w:tabs>
        <w:bidi/>
        <w:spacing w:line="360" w:lineRule="auto"/>
        <w:jc w:val="both"/>
        <w:rPr>
          <w:rFonts w:ascii="Arial" w:hAnsi="Arial"/>
          <w:b/>
          <w:bCs/>
          <w:color w:val="0000FF"/>
          <w:sz w:val="24"/>
          <w:u w:val="single"/>
        </w:rPr>
      </w:pPr>
      <w:r w:rsidRPr="00BD3500">
        <w:rPr>
          <w:rFonts w:ascii="Arial" w:hAnsi="Arial" w:hint="cs"/>
          <w:b/>
          <w:bCs/>
          <w:color w:val="0000FF"/>
          <w:sz w:val="24"/>
          <w:u w:val="single"/>
          <w:rtl/>
        </w:rPr>
        <w:lastRenderedPageBreak/>
        <w:t>נשללו מלוא פיצויי פיטורים מעובדים בכירים שהורשעו בפלילים</w:t>
      </w:r>
    </w:p>
    <w:p w:rsidR="000118BE" w:rsidRPr="00012647" w:rsidRDefault="000118BE" w:rsidP="00A8553B">
      <w:pPr>
        <w:tabs>
          <w:tab w:val="left" w:pos="-316"/>
        </w:tabs>
        <w:bidi/>
        <w:spacing w:line="360" w:lineRule="auto"/>
        <w:ind w:left="-316" w:right="-180"/>
        <w:jc w:val="both"/>
        <w:rPr>
          <w:rFonts w:ascii="Arial" w:hAnsi="Arial"/>
          <w:b/>
          <w:bCs/>
          <w:sz w:val="24"/>
          <w:u w:val="single"/>
          <w:rtl/>
        </w:rPr>
      </w:pPr>
    </w:p>
    <w:p w:rsidR="000118BE" w:rsidRPr="00B6250A" w:rsidRDefault="000118BE" w:rsidP="00A8553B">
      <w:pPr>
        <w:tabs>
          <w:tab w:val="left" w:pos="-56"/>
        </w:tabs>
        <w:bidi/>
        <w:spacing w:line="360" w:lineRule="auto"/>
        <w:ind w:left="-56"/>
        <w:jc w:val="both"/>
        <w:rPr>
          <w:rFonts w:ascii="Arial" w:eastAsia="Calibri" w:hAnsi="Arial"/>
          <w:b/>
          <w:bCs/>
          <w:sz w:val="24"/>
          <w:rtl/>
        </w:rPr>
      </w:pPr>
      <w:r w:rsidRPr="00B6250A">
        <w:rPr>
          <w:rFonts w:ascii="Arial" w:eastAsia="Calibri" w:hAnsi="Arial"/>
          <w:b/>
          <w:bCs/>
          <w:sz w:val="24"/>
          <w:rtl/>
        </w:rPr>
        <w:t>בית הדין האזורי לעבודה דחה תביע</w:t>
      </w:r>
      <w:r w:rsidRPr="00B6250A">
        <w:rPr>
          <w:rFonts w:ascii="Arial" w:eastAsia="Calibri" w:hAnsi="Arial" w:hint="cs"/>
          <w:b/>
          <w:bCs/>
          <w:sz w:val="24"/>
          <w:rtl/>
        </w:rPr>
        <w:t xml:space="preserve">ת עובדים בכירים שעבדו בלשכת עורכי הדין משך 26 שנה, לאחר שהורשעו בביצוע מעשי מרמה, גניבה והפרת אמונים. עשר שנים לאחר פיטוריהם תבעו הבכירים תשלום פיצויי פיטורים, פדיון חופשה וגמול מחלה. בית הדין פסק, כי </w:t>
      </w:r>
      <w:r w:rsidRPr="00B6250A">
        <w:rPr>
          <w:rFonts w:ascii="Arial" w:eastAsia="Calibri" w:hAnsi="Arial"/>
          <w:b/>
          <w:bCs/>
          <w:sz w:val="24"/>
          <w:rtl/>
        </w:rPr>
        <w:t>התובעים</w:t>
      </w:r>
      <w:r w:rsidRPr="00B6250A">
        <w:rPr>
          <w:rFonts w:ascii="Arial" w:eastAsia="Calibri" w:hAnsi="Arial" w:hint="cs"/>
          <w:b/>
          <w:bCs/>
          <w:sz w:val="24"/>
          <w:rtl/>
        </w:rPr>
        <w:t xml:space="preserve"> הפרו במעשיהם</w:t>
      </w:r>
      <w:r w:rsidRPr="00B6250A">
        <w:rPr>
          <w:rFonts w:ascii="Arial" w:eastAsia="Calibri" w:hAnsi="Arial"/>
          <w:b/>
          <w:bCs/>
          <w:sz w:val="24"/>
          <w:rtl/>
        </w:rPr>
        <w:t xml:space="preserve"> את חובת האמון בה חב עובד למעבידו</w:t>
      </w:r>
      <w:r w:rsidRPr="00B6250A">
        <w:rPr>
          <w:rFonts w:ascii="Arial" w:eastAsia="Calibri" w:hAnsi="Arial" w:hint="cs"/>
          <w:b/>
          <w:bCs/>
          <w:sz w:val="24"/>
          <w:rtl/>
        </w:rPr>
        <w:t xml:space="preserve"> ואת חוזי העבודה הפרה יסודית, ועל כן </w:t>
      </w:r>
      <w:r w:rsidRPr="00B6250A">
        <w:rPr>
          <w:rFonts w:ascii="Arial" w:eastAsia="Calibri" w:hAnsi="Arial"/>
          <w:b/>
          <w:bCs/>
          <w:sz w:val="24"/>
          <w:rtl/>
        </w:rPr>
        <w:t>יש מקום לשלול מהם את מלוא פיצויי הפיטורים ודמי ההודעה המוקדמת</w:t>
      </w:r>
      <w:r w:rsidRPr="00B6250A">
        <w:rPr>
          <w:rFonts w:ascii="Arial" w:eastAsia="Calibri" w:hAnsi="Arial" w:hint="cs"/>
          <w:b/>
          <w:bCs/>
          <w:sz w:val="24"/>
          <w:rtl/>
        </w:rPr>
        <w:t>.</w:t>
      </w:r>
      <w:r w:rsidRPr="00B6250A">
        <w:rPr>
          <w:rFonts w:ascii="Arial" w:eastAsia="Calibri" w:hAnsi="Arial"/>
          <w:b/>
          <w:bCs/>
          <w:sz w:val="24"/>
          <w:rtl/>
        </w:rPr>
        <w:t xml:space="preserve"> </w:t>
      </w:r>
      <w:r w:rsidRPr="00B6250A">
        <w:rPr>
          <w:rFonts w:ascii="Arial" w:eastAsia="Calibri" w:hAnsi="Arial" w:hint="eastAsia"/>
          <w:b/>
          <w:bCs/>
          <w:sz w:val="24"/>
          <w:rtl/>
        </w:rPr>
        <w:t>אשר</w:t>
      </w:r>
      <w:r w:rsidRPr="00B6250A">
        <w:rPr>
          <w:rFonts w:ascii="Arial" w:eastAsia="Calibri" w:hAnsi="Arial"/>
          <w:b/>
          <w:bCs/>
          <w:sz w:val="24"/>
          <w:rtl/>
        </w:rPr>
        <w:t xml:space="preserve"> </w:t>
      </w:r>
      <w:r w:rsidRPr="00B6250A">
        <w:rPr>
          <w:rFonts w:ascii="Arial" w:eastAsia="Calibri" w:hAnsi="Arial" w:hint="eastAsia"/>
          <w:b/>
          <w:bCs/>
          <w:sz w:val="24"/>
          <w:rtl/>
        </w:rPr>
        <w:t>לפדיון</w:t>
      </w:r>
      <w:r w:rsidRPr="00B6250A">
        <w:rPr>
          <w:rFonts w:ascii="Arial" w:eastAsia="Calibri" w:hAnsi="Arial"/>
          <w:b/>
          <w:bCs/>
          <w:sz w:val="24"/>
          <w:rtl/>
        </w:rPr>
        <w:t xml:space="preserve"> </w:t>
      </w:r>
      <w:r w:rsidRPr="00B6250A">
        <w:rPr>
          <w:rFonts w:ascii="Arial" w:eastAsia="Calibri" w:hAnsi="Arial" w:hint="eastAsia"/>
          <w:b/>
          <w:bCs/>
          <w:sz w:val="24"/>
          <w:rtl/>
        </w:rPr>
        <w:t>ימי</w:t>
      </w:r>
      <w:r w:rsidRPr="00B6250A">
        <w:rPr>
          <w:rFonts w:ascii="Arial" w:eastAsia="Calibri" w:hAnsi="Arial"/>
          <w:b/>
          <w:bCs/>
          <w:sz w:val="24"/>
          <w:rtl/>
        </w:rPr>
        <w:t xml:space="preserve"> </w:t>
      </w:r>
      <w:r w:rsidRPr="00B6250A">
        <w:rPr>
          <w:rFonts w:ascii="Arial" w:eastAsia="Calibri" w:hAnsi="Arial" w:hint="eastAsia"/>
          <w:b/>
          <w:bCs/>
          <w:sz w:val="24"/>
          <w:rtl/>
        </w:rPr>
        <w:t>מחלה</w:t>
      </w:r>
      <w:r w:rsidRPr="00B6250A">
        <w:rPr>
          <w:rFonts w:ascii="Arial" w:eastAsia="Calibri" w:hAnsi="Arial"/>
          <w:b/>
          <w:bCs/>
          <w:sz w:val="24"/>
          <w:rtl/>
        </w:rPr>
        <w:t xml:space="preserve">, </w:t>
      </w:r>
      <w:r w:rsidRPr="00B6250A">
        <w:rPr>
          <w:rFonts w:ascii="Arial" w:eastAsia="Calibri" w:hAnsi="Arial" w:hint="cs"/>
          <w:b/>
          <w:bCs/>
          <w:sz w:val="24"/>
          <w:rtl/>
        </w:rPr>
        <w:t xml:space="preserve">נפסק כי טענה כללית בדבר קיומו של נוהג לא תצלח וכי </w:t>
      </w:r>
      <w:r w:rsidRPr="00B6250A">
        <w:rPr>
          <w:rFonts w:ascii="Arial" w:eastAsia="Calibri" w:hAnsi="Arial"/>
          <w:b/>
          <w:bCs/>
          <w:sz w:val="24"/>
          <w:rtl/>
        </w:rPr>
        <w:t>לצורך הוכחת "נוהג" נדרשת תשתית ראייתית רחבה ומסודרת.</w:t>
      </w:r>
      <w:r w:rsidRPr="00B6250A">
        <w:rPr>
          <w:rFonts w:ascii="Arial" w:eastAsia="Calibri" w:hAnsi="Arial" w:hint="cs"/>
          <w:b/>
          <w:bCs/>
          <w:sz w:val="24"/>
          <w:rtl/>
        </w:rPr>
        <w:t xml:space="preserve"> בענייננו, </w:t>
      </w:r>
      <w:r w:rsidRPr="00B6250A">
        <w:rPr>
          <w:rFonts w:ascii="Arial" w:eastAsia="Calibri" w:hAnsi="Arial"/>
          <w:b/>
          <w:bCs/>
          <w:sz w:val="24"/>
          <w:rtl/>
        </w:rPr>
        <w:t xml:space="preserve">התובעים לא עמדו בנטל להוכיח הסכם שהיה קיים בלשכה בנוגע לתשלום פיצוי בעד מכסת מחלה בלתי מנוצלת. </w:t>
      </w:r>
      <w:r w:rsidRPr="00B6250A">
        <w:rPr>
          <w:rFonts w:ascii="Arial" w:eastAsia="Calibri" w:hAnsi="Arial" w:hint="cs"/>
          <w:b/>
          <w:bCs/>
          <w:sz w:val="24"/>
          <w:rtl/>
        </w:rPr>
        <w:t xml:space="preserve">אשר לפדיון חופשה שנתית- התביעה התיישנה. יתרה מכך, בית הדין פסק </w:t>
      </w:r>
      <w:r w:rsidRPr="00B6250A">
        <w:rPr>
          <w:rFonts w:ascii="Arial" w:eastAsia="Calibri" w:hAnsi="Arial"/>
          <w:b/>
          <w:bCs/>
          <w:sz w:val="24"/>
          <w:rtl/>
        </w:rPr>
        <w:t>כי אפילו היה נקבע שאין לשלול מהתובע</w:t>
      </w:r>
      <w:r w:rsidRPr="00B6250A">
        <w:rPr>
          <w:rFonts w:ascii="Arial" w:eastAsia="Calibri" w:hAnsi="Arial" w:hint="cs"/>
          <w:b/>
          <w:bCs/>
          <w:sz w:val="24"/>
          <w:rtl/>
        </w:rPr>
        <w:t>ים</w:t>
      </w:r>
      <w:r w:rsidRPr="00B6250A">
        <w:rPr>
          <w:rFonts w:ascii="Arial" w:eastAsia="Calibri" w:hAnsi="Arial"/>
          <w:b/>
          <w:bCs/>
          <w:sz w:val="24"/>
          <w:rtl/>
        </w:rPr>
        <w:t xml:space="preserve"> את פיצויי פיטורי</w:t>
      </w:r>
      <w:r w:rsidRPr="00B6250A">
        <w:rPr>
          <w:rFonts w:ascii="Arial" w:eastAsia="Calibri" w:hAnsi="Arial" w:hint="cs"/>
          <w:b/>
          <w:bCs/>
          <w:sz w:val="24"/>
          <w:rtl/>
        </w:rPr>
        <w:t>הם</w:t>
      </w:r>
      <w:r w:rsidRPr="00B6250A">
        <w:rPr>
          <w:rFonts w:ascii="Arial" w:eastAsia="Calibri" w:hAnsi="Arial"/>
          <w:b/>
          <w:bCs/>
          <w:sz w:val="24"/>
          <w:rtl/>
        </w:rPr>
        <w:t xml:space="preserve"> באופן מלא, היה מקום לקזז מהם את סכום הנזק שנגרם ללשכה כתוצאה ממעשי</w:t>
      </w:r>
      <w:r w:rsidRPr="00B6250A">
        <w:rPr>
          <w:rFonts w:ascii="Arial" w:eastAsia="Calibri" w:hAnsi="Arial" w:hint="cs"/>
          <w:b/>
          <w:bCs/>
          <w:sz w:val="24"/>
          <w:rtl/>
        </w:rPr>
        <w:t>הם</w:t>
      </w:r>
      <w:r w:rsidRPr="00B6250A">
        <w:rPr>
          <w:rFonts w:ascii="Arial" w:eastAsia="Calibri" w:hAnsi="Arial"/>
          <w:b/>
          <w:bCs/>
          <w:sz w:val="24"/>
          <w:rtl/>
        </w:rPr>
        <w:t>, כך שהתובע</w:t>
      </w:r>
      <w:r w:rsidRPr="00B6250A">
        <w:rPr>
          <w:rFonts w:ascii="Arial" w:eastAsia="Calibri" w:hAnsi="Arial" w:hint="cs"/>
          <w:b/>
          <w:bCs/>
          <w:sz w:val="24"/>
          <w:rtl/>
        </w:rPr>
        <w:t>ים</w:t>
      </w:r>
      <w:r w:rsidRPr="00B6250A">
        <w:rPr>
          <w:rFonts w:ascii="Arial" w:eastAsia="Calibri" w:hAnsi="Arial"/>
          <w:b/>
          <w:bCs/>
          <w:sz w:val="24"/>
          <w:rtl/>
        </w:rPr>
        <w:t xml:space="preserve"> לא הי</w:t>
      </w:r>
      <w:r w:rsidRPr="00B6250A">
        <w:rPr>
          <w:rFonts w:ascii="Arial" w:eastAsia="Calibri" w:hAnsi="Arial" w:hint="cs"/>
          <w:b/>
          <w:bCs/>
          <w:sz w:val="24"/>
          <w:rtl/>
        </w:rPr>
        <w:t>ו</w:t>
      </w:r>
      <w:r w:rsidRPr="00B6250A">
        <w:rPr>
          <w:rFonts w:ascii="Arial" w:eastAsia="Calibri" w:hAnsi="Arial"/>
          <w:b/>
          <w:bCs/>
          <w:sz w:val="24"/>
          <w:rtl/>
        </w:rPr>
        <w:t xml:space="preserve"> זכאי</w:t>
      </w:r>
      <w:r w:rsidRPr="00B6250A">
        <w:rPr>
          <w:rFonts w:ascii="Arial" w:eastAsia="Calibri" w:hAnsi="Arial" w:hint="cs"/>
          <w:b/>
          <w:bCs/>
          <w:sz w:val="24"/>
          <w:rtl/>
        </w:rPr>
        <w:t>ם בכל מקרה</w:t>
      </w:r>
      <w:r w:rsidRPr="00B6250A">
        <w:rPr>
          <w:rFonts w:ascii="Arial" w:eastAsia="Calibri" w:hAnsi="Arial"/>
          <w:b/>
          <w:bCs/>
          <w:sz w:val="24"/>
          <w:rtl/>
        </w:rPr>
        <w:t xml:space="preserve"> לקבל סכום כסף כלשהו. </w:t>
      </w:r>
    </w:p>
    <w:p w:rsidR="000118BE" w:rsidRPr="005453E9" w:rsidRDefault="000118BE" w:rsidP="00A8553B">
      <w:pPr>
        <w:tabs>
          <w:tab w:val="left" w:pos="-56"/>
        </w:tabs>
        <w:bidi/>
        <w:spacing w:line="360" w:lineRule="auto"/>
        <w:ind w:left="-56"/>
        <w:jc w:val="both"/>
        <w:rPr>
          <w:rFonts w:ascii="Arial" w:eastAsia="Calibri" w:hAnsi="Arial"/>
          <w:b/>
          <w:bCs/>
          <w:sz w:val="22"/>
          <w:szCs w:val="22"/>
          <w:rtl/>
        </w:rPr>
      </w:pPr>
      <w:r>
        <w:rPr>
          <w:rFonts w:ascii="David" w:hAnsi="David" w:hint="cs"/>
          <w:color w:val="000000"/>
          <w:sz w:val="22"/>
          <w:szCs w:val="22"/>
          <w:rtl/>
        </w:rPr>
        <w:t>תל"א</w:t>
      </w:r>
      <w:r>
        <w:rPr>
          <w:rFonts w:ascii="David" w:hAnsi="David"/>
          <w:color w:val="000000"/>
          <w:sz w:val="22"/>
          <w:szCs w:val="22"/>
          <w:rtl/>
        </w:rPr>
        <w:t xml:space="preserve"> (ת"א) </w:t>
      </w:r>
      <w:r>
        <w:rPr>
          <w:rFonts w:ascii="David" w:hAnsi="David" w:hint="cs"/>
          <w:color w:val="000000"/>
          <w:sz w:val="22"/>
          <w:szCs w:val="22"/>
          <w:rtl/>
        </w:rPr>
        <w:t>5293-08</w:t>
      </w:r>
      <w:r w:rsidRPr="007D1A23">
        <w:rPr>
          <w:color w:val="FF0000"/>
          <w:sz w:val="22"/>
          <w:szCs w:val="22"/>
        </w:rPr>
        <w:t xml:space="preserve">● </w:t>
      </w:r>
      <w:r w:rsidRPr="007D1A23">
        <w:rPr>
          <w:rFonts w:hint="cs"/>
          <w:color w:val="2B003A"/>
          <w:sz w:val="22"/>
          <w:szCs w:val="22"/>
          <w:rtl/>
        </w:rPr>
        <w:t xml:space="preserve"> </w:t>
      </w:r>
      <w:r w:rsidRPr="00014E5E">
        <w:rPr>
          <w:rFonts w:ascii="David" w:hAnsi="David" w:hint="cs"/>
          <w:b/>
          <w:bCs/>
          <w:color w:val="FF0000"/>
          <w:sz w:val="22"/>
          <w:szCs w:val="22"/>
          <w:rtl/>
        </w:rPr>
        <w:t>עידן סובול ואח' נ' לשכת עורכי הדין</w:t>
      </w:r>
      <w:r w:rsidRPr="00014E5E">
        <w:rPr>
          <w:b/>
          <w:bCs/>
          <w:color w:val="FF0000"/>
          <w:rtl/>
        </w:rPr>
        <w:t xml:space="preserve"> </w:t>
      </w:r>
      <w:r w:rsidRPr="0048743E">
        <w:rPr>
          <w:rFonts w:ascii="David" w:hAnsi="David" w:hint="cs"/>
          <w:color w:val="000000"/>
          <w:sz w:val="22"/>
          <w:szCs w:val="22"/>
          <w:rtl/>
        </w:rPr>
        <w:t>(</w:t>
      </w:r>
      <w:r>
        <w:rPr>
          <w:rFonts w:ascii="David" w:hAnsi="David" w:hint="cs"/>
          <w:color w:val="000000"/>
          <w:sz w:val="22"/>
          <w:szCs w:val="22"/>
          <w:rtl/>
        </w:rPr>
        <w:t>1.7</w:t>
      </w:r>
      <w:r w:rsidRPr="0048743E">
        <w:rPr>
          <w:rFonts w:ascii="David" w:hAnsi="David" w:hint="cs"/>
          <w:color w:val="000000"/>
          <w:sz w:val="22"/>
          <w:szCs w:val="22"/>
          <w:rtl/>
        </w:rPr>
        <w:t>.13</w:t>
      </w:r>
      <w:r w:rsidRPr="007D1A23">
        <w:rPr>
          <w:rFonts w:hint="cs"/>
          <w:color w:val="2B003A"/>
          <w:sz w:val="22"/>
          <w:szCs w:val="22"/>
          <w:rtl/>
        </w:rPr>
        <w:t xml:space="preserve">) </w:t>
      </w:r>
      <w:r w:rsidRPr="007D1A23">
        <w:rPr>
          <w:color w:val="FF0000"/>
          <w:sz w:val="22"/>
          <w:szCs w:val="22"/>
        </w:rPr>
        <w:t>●</w:t>
      </w:r>
      <w:r w:rsidRPr="007D1A23">
        <w:rPr>
          <w:rFonts w:hint="cs"/>
          <w:color w:val="2B003A"/>
          <w:sz w:val="22"/>
          <w:szCs w:val="22"/>
          <w:rtl/>
        </w:rPr>
        <w:t xml:space="preserve"> </w:t>
      </w:r>
      <w:r w:rsidRPr="0048743E">
        <w:rPr>
          <w:rFonts w:ascii="David" w:hAnsi="David" w:hint="cs"/>
          <w:color w:val="000000"/>
          <w:sz w:val="22"/>
          <w:szCs w:val="22"/>
          <w:rtl/>
        </w:rPr>
        <w:t xml:space="preserve">בפני כבוד </w:t>
      </w:r>
      <w:r>
        <w:rPr>
          <w:rFonts w:ascii="David" w:hAnsi="David" w:hint="cs"/>
          <w:color w:val="000000"/>
          <w:sz w:val="22"/>
          <w:szCs w:val="22"/>
          <w:rtl/>
        </w:rPr>
        <w:t>השופט דורי ספיבק-אב"ד, נ.ע גב' נעה נוריאל, נ.מ מר איתן גולדמן</w:t>
      </w:r>
    </w:p>
    <w:p w:rsidR="000118BE" w:rsidRDefault="000118BE" w:rsidP="00A8553B">
      <w:pPr>
        <w:bidi/>
        <w:spacing w:line="360" w:lineRule="auto"/>
        <w:ind w:left="-109"/>
        <w:jc w:val="both"/>
        <w:rPr>
          <w:sz w:val="18"/>
          <w:szCs w:val="18"/>
          <w:rtl/>
        </w:rPr>
      </w:pPr>
    </w:p>
    <w:p w:rsidR="00E17AA3" w:rsidRDefault="00E17AA3" w:rsidP="00E17AA3">
      <w:pPr>
        <w:bidi/>
        <w:spacing w:line="360" w:lineRule="auto"/>
        <w:ind w:left="-109"/>
        <w:jc w:val="both"/>
        <w:rPr>
          <w:sz w:val="18"/>
          <w:szCs w:val="18"/>
          <w:rtl/>
        </w:rPr>
      </w:pPr>
    </w:p>
    <w:p w:rsidR="000118BE" w:rsidRDefault="000118BE" w:rsidP="00A8553B">
      <w:pPr>
        <w:numPr>
          <w:ilvl w:val="0"/>
          <w:numId w:val="5"/>
        </w:numPr>
        <w:bidi/>
        <w:spacing w:line="360" w:lineRule="auto"/>
        <w:jc w:val="both"/>
        <w:outlineLvl w:val="2"/>
        <w:rPr>
          <w:rFonts w:ascii="David" w:hAnsi="David"/>
          <w:b/>
          <w:bCs/>
          <w:color w:val="FF0000"/>
          <w:sz w:val="32"/>
          <w:szCs w:val="26"/>
          <w:u w:val="single"/>
        </w:rPr>
      </w:pPr>
      <w:bookmarkStart w:id="45" w:name="_Toc383530620"/>
      <w:bookmarkStart w:id="46" w:name="_Toc383587158"/>
      <w:bookmarkStart w:id="47" w:name="_Toc383587363"/>
      <w:bookmarkStart w:id="48" w:name="_Toc383587805"/>
      <w:r>
        <w:rPr>
          <w:rFonts w:ascii="David" w:hAnsi="David" w:hint="cs"/>
          <w:b/>
          <w:bCs/>
          <w:color w:val="FF0000"/>
          <w:sz w:val="32"/>
          <w:szCs w:val="26"/>
          <w:u w:val="single"/>
          <w:rtl/>
        </w:rPr>
        <w:t>שימוע</w:t>
      </w:r>
      <w:bookmarkEnd w:id="45"/>
      <w:bookmarkEnd w:id="46"/>
      <w:bookmarkEnd w:id="47"/>
      <w:bookmarkEnd w:id="48"/>
    </w:p>
    <w:p w:rsidR="000118BE" w:rsidRPr="00BD3500" w:rsidRDefault="000118BE" w:rsidP="00E17AA3">
      <w:pPr>
        <w:bidi/>
        <w:jc w:val="both"/>
        <w:outlineLvl w:val="2"/>
        <w:rPr>
          <w:rFonts w:ascii="David" w:hAnsi="David"/>
          <w:b/>
          <w:bCs/>
          <w:color w:val="0000FF"/>
          <w:sz w:val="32"/>
          <w:szCs w:val="26"/>
          <w:u w:val="single"/>
        </w:rPr>
      </w:pPr>
    </w:p>
    <w:p w:rsidR="000118BE" w:rsidRPr="00BD3500" w:rsidRDefault="000118BE" w:rsidP="00A8553B">
      <w:pPr>
        <w:numPr>
          <w:ilvl w:val="0"/>
          <w:numId w:val="17"/>
        </w:numPr>
        <w:tabs>
          <w:tab w:val="left" w:pos="-316"/>
        </w:tabs>
        <w:bidi/>
        <w:spacing w:line="360" w:lineRule="auto"/>
        <w:ind w:hanging="656"/>
        <w:jc w:val="both"/>
        <w:rPr>
          <w:rFonts w:ascii="Arial" w:hAnsi="Arial"/>
          <w:b/>
          <w:bCs/>
          <w:color w:val="0000FF"/>
          <w:sz w:val="24"/>
          <w:u w:val="single"/>
        </w:rPr>
      </w:pPr>
      <w:r w:rsidRPr="00BD3500">
        <w:rPr>
          <w:rFonts w:ascii="Arial" w:hAnsi="Arial"/>
          <w:b/>
          <w:bCs/>
          <w:color w:val="0000FF"/>
          <w:sz w:val="24"/>
          <w:u w:val="single"/>
          <w:rtl/>
        </w:rPr>
        <w:t>עובדת ש</w:t>
      </w:r>
      <w:r w:rsidRPr="00BD3500">
        <w:rPr>
          <w:rFonts w:ascii="Arial" w:hAnsi="Arial" w:hint="cs"/>
          <w:b/>
          <w:bCs/>
          <w:color w:val="0000FF"/>
          <w:sz w:val="24"/>
          <w:u w:val="single"/>
          <w:rtl/>
        </w:rPr>
        <w:t>פוטרה</w:t>
      </w:r>
      <w:r w:rsidRPr="00BD3500">
        <w:rPr>
          <w:rFonts w:ascii="Arial" w:hAnsi="Arial"/>
          <w:b/>
          <w:bCs/>
          <w:color w:val="0000FF"/>
          <w:sz w:val="24"/>
          <w:u w:val="single"/>
          <w:rtl/>
        </w:rPr>
        <w:t xml:space="preserve"> הושבה לעבודה לאור פגמים בשמוע ובסמכות לפטר</w:t>
      </w:r>
    </w:p>
    <w:p w:rsidR="000118BE" w:rsidRDefault="000118BE" w:rsidP="00A8553B">
      <w:pPr>
        <w:tabs>
          <w:tab w:val="left" w:pos="44"/>
          <w:tab w:val="left" w:pos="90"/>
        </w:tabs>
        <w:bidi/>
        <w:spacing w:line="360" w:lineRule="auto"/>
        <w:ind w:left="44" w:right="-180"/>
        <w:jc w:val="both"/>
        <w:rPr>
          <w:rFonts w:ascii="Arial" w:eastAsia="Calibri" w:hAnsi="Arial"/>
          <w:b/>
          <w:bCs/>
          <w:sz w:val="24"/>
          <w:rtl/>
        </w:rPr>
      </w:pPr>
    </w:p>
    <w:p w:rsidR="000118BE" w:rsidRPr="00CA1E67" w:rsidRDefault="000118BE" w:rsidP="00A8553B">
      <w:pPr>
        <w:tabs>
          <w:tab w:val="left" w:pos="44"/>
          <w:tab w:val="left" w:pos="90"/>
        </w:tabs>
        <w:bidi/>
        <w:spacing w:line="360" w:lineRule="auto"/>
        <w:ind w:left="44" w:right="-180"/>
        <w:jc w:val="both"/>
        <w:rPr>
          <w:rFonts w:ascii="Arial" w:eastAsia="Calibri" w:hAnsi="Arial"/>
          <w:b/>
          <w:bCs/>
          <w:sz w:val="24"/>
          <w:rtl/>
        </w:rPr>
      </w:pPr>
      <w:r w:rsidRPr="00CA1E67">
        <w:rPr>
          <w:rFonts w:ascii="Arial" w:eastAsia="Calibri" w:hAnsi="Arial" w:hint="cs"/>
          <w:b/>
          <w:bCs/>
          <w:sz w:val="24"/>
          <w:rtl/>
        </w:rPr>
        <w:t>עובדת שפוטרה הגישה תביעה נגד עמותה שהעסיקה אותה להשבה למקום עבודתה.</w:t>
      </w:r>
    </w:p>
    <w:p w:rsidR="000118BE" w:rsidRPr="00CA1E67" w:rsidRDefault="000118BE" w:rsidP="00A8553B">
      <w:pPr>
        <w:tabs>
          <w:tab w:val="left" w:pos="44"/>
          <w:tab w:val="left" w:pos="90"/>
        </w:tabs>
        <w:bidi/>
        <w:spacing w:line="360" w:lineRule="auto"/>
        <w:ind w:left="44" w:right="-180"/>
        <w:jc w:val="both"/>
        <w:rPr>
          <w:rFonts w:ascii="Arial" w:eastAsia="Calibri" w:hAnsi="Arial"/>
          <w:b/>
          <w:bCs/>
          <w:sz w:val="24"/>
          <w:rtl/>
        </w:rPr>
      </w:pPr>
      <w:r w:rsidRPr="00CA1E67">
        <w:rPr>
          <w:rFonts w:ascii="Arial" w:eastAsia="Calibri" w:hAnsi="Arial" w:hint="cs"/>
          <w:b/>
          <w:bCs/>
          <w:sz w:val="24"/>
          <w:rtl/>
        </w:rPr>
        <w:t xml:space="preserve">לטענתה, פוטרה שלא כדין לאחר שחשפה שחיתויות והתנהלות לא תקינה של המנהלת במקום העבודה, תוך שימוש בכספים למטרות פרטיות. </w:t>
      </w:r>
    </w:p>
    <w:p w:rsidR="000118BE" w:rsidRPr="00CA1E67" w:rsidRDefault="000118BE" w:rsidP="00A8553B">
      <w:pPr>
        <w:tabs>
          <w:tab w:val="left" w:pos="44"/>
          <w:tab w:val="left" w:pos="90"/>
        </w:tabs>
        <w:bidi/>
        <w:spacing w:line="360" w:lineRule="auto"/>
        <w:ind w:left="44" w:right="-180"/>
        <w:jc w:val="both"/>
        <w:rPr>
          <w:rFonts w:ascii="Arial" w:eastAsia="Calibri" w:hAnsi="Arial"/>
          <w:b/>
          <w:bCs/>
          <w:sz w:val="24"/>
          <w:rtl/>
        </w:rPr>
      </w:pPr>
      <w:r w:rsidRPr="00CA1E67">
        <w:rPr>
          <w:rFonts w:ascii="Arial" w:eastAsia="Calibri" w:hAnsi="Arial" w:hint="cs"/>
          <w:b/>
          <w:bCs/>
          <w:sz w:val="24"/>
          <w:rtl/>
        </w:rPr>
        <w:t xml:space="preserve">בהזמנה לשימוע שנמסרה לעובדת נכתב כי שיחת השימוע תדון ביחסים העכורים בינה לבין המנהלת, אולם בשימוע שהתקיים טען מנכ"ל העמותה כי סיבת הפיטורים הינה שונה: דרישתה של קרן ויזל, המממנת את העמותה, לפטר עובדים. </w:t>
      </w:r>
    </w:p>
    <w:p w:rsidR="000118BE" w:rsidRPr="00CE7B6B" w:rsidRDefault="000118BE" w:rsidP="00CE7B6B">
      <w:pPr>
        <w:tabs>
          <w:tab w:val="left" w:pos="44"/>
          <w:tab w:val="left" w:pos="90"/>
        </w:tabs>
        <w:bidi/>
        <w:spacing w:line="360" w:lineRule="auto"/>
        <w:ind w:left="44" w:right="-180"/>
        <w:jc w:val="both"/>
        <w:rPr>
          <w:rFonts w:ascii="Arial" w:eastAsia="Calibri" w:hAnsi="Arial"/>
          <w:b/>
          <w:bCs/>
          <w:sz w:val="24"/>
          <w:rtl/>
        </w:rPr>
      </w:pPr>
      <w:r w:rsidRPr="00CA1E67">
        <w:rPr>
          <w:rFonts w:ascii="Arial" w:eastAsia="Calibri" w:hAnsi="Arial" w:hint="cs"/>
          <w:b/>
          <w:bCs/>
          <w:sz w:val="24"/>
          <w:rtl/>
        </w:rPr>
        <w:t>על פי ההלכה הפסוקה, מטרתה העיקרית של זכות השימוע היא לאפשר לעובד להזים את הטענות כלפיו ולנסות לשכנע את העומד להכריע בגורלו. בענייננו, מאחר והטענות שהועלו בשימוע נשמעו לראשונה בישיבת השימוע, העובדת לא יכלה להתמודד עם טענות אלו. כמו כן, על פי סעיף 25 לחוק העמותות, הסמכות לפטר עובדים נתונה לוועד העמותה. בענייננו, מנכ"ל העמותה הוא שחתם על מכתב הפיטורים שנמסר לעובדת, מבלי שהיה לו סמכות לעשות כן.</w:t>
      </w:r>
      <w:r w:rsidR="00CE7B6B">
        <w:rPr>
          <w:rFonts w:ascii="Arial" w:eastAsia="Calibri" w:hAnsi="Arial" w:hint="cs"/>
          <w:b/>
          <w:bCs/>
          <w:sz w:val="24"/>
          <w:rtl/>
        </w:rPr>
        <w:t xml:space="preserve"> </w:t>
      </w:r>
      <w:r w:rsidRPr="00CA1E67">
        <w:rPr>
          <w:rFonts w:ascii="Arial" w:eastAsia="Calibri" w:hAnsi="Arial" w:hint="cs"/>
          <w:b/>
          <w:bCs/>
          <w:sz w:val="24"/>
          <w:rtl/>
        </w:rPr>
        <w:t>לאור הפגמים הנ"ל, בית הדין פסק כי מאחר ופיטורי העובדת נעשו שלא כדין הם אינם תקפים והעובדת תשוב למקום עבודתה לתפקיד אחר</w:t>
      </w:r>
      <w:r>
        <w:rPr>
          <w:rFonts w:hint="cs"/>
          <w:b/>
          <w:bCs/>
          <w:szCs w:val="28"/>
          <w:rtl/>
        </w:rPr>
        <w:t>.</w:t>
      </w:r>
    </w:p>
    <w:p w:rsidR="000118BE" w:rsidRDefault="000118BE" w:rsidP="00CE7B6B">
      <w:pPr>
        <w:tabs>
          <w:tab w:val="left" w:pos="44"/>
          <w:tab w:val="left" w:pos="90"/>
        </w:tabs>
        <w:bidi/>
        <w:spacing w:line="360" w:lineRule="auto"/>
        <w:ind w:left="44" w:right="-180"/>
        <w:jc w:val="both"/>
        <w:rPr>
          <w:rFonts w:ascii="Arial" w:hAnsi="Arial"/>
          <w:b/>
          <w:bCs/>
          <w:sz w:val="22"/>
          <w:szCs w:val="22"/>
          <w:u w:val="single"/>
          <w:rtl/>
        </w:rPr>
      </w:pPr>
      <w:r w:rsidRPr="00D51F6D">
        <w:rPr>
          <w:rFonts w:hint="cs"/>
          <w:sz w:val="22"/>
          <w:szCs w:val="22"/>
          <w:rtl/>
        </w:rPr>
        <w:t xml:space="preserve">סעש (ב"ש) 8519-08-13 </w:t>
      </w:r>
      <w:r w:rsidRPr="00D51F6D">
        <w:rPr>
          <w:color w:val="FF0000"/>
          <w:sz w:val="22"/>
          <w:szCs w:val="22"/>
        </w:rPr>
        <w:t>●</w:t>
      </w:r>
      <w:r w:rsidRPr="00D51F6D">
        <w:rPr>
          <w:rFonts w:hint="cs"/>
          <w:b/>
          <w:bCs/>
          <w:sz w:val="22"/>
          <w:szCs w:val="22"/>
          <w:rtl/>
        </w:rPr>
        <w:t xml:space="preserve"> </w:t>
      </w:r>
      <w:r w:rsidRPr="008469B5">
        <w:rPr>
          <w:rFonts w:hint="cs"/>
          <w:b/>
          <w:bCs/>
          <w:color w:val="FF0000"/>
          <w:sz w:val="22"/>
          <w:szCs w:val="22"/>
          <w:rtl/>
        </w:rPr>
        <w:t>דבורה אורית חייאק נ' קרן קרית מלאכי לפיתוח</w:t>
      </w:r>
      <w:r w:rsidRPr="008469B5">
        <w:rPr>
          <w:rFonts w:hint="cs"/>
          <w:color w:val="FF0000"/>
          <w:sz w:val="22"/>
          <w:szCs w:val="22"/>
          <w:rtl/>
        </w:rPr>
        <w:t xml:space="preserve"> </w:t>
      </w:r>
      <w:r w:rsidRPr="00D51F6D">
        <w:rPr>
          <w:rFonts w:hint="cs"/>
          <w:sz w:val="22"/>
          <w:szCs w:val="22"/>
          <w:rtl/>
        </w:rPr>
        <w:t xml:space="preserve">(4.11.13) </w:t>
      </w:r>
      <w:r w:rsidRPr="00D51F6D">
        <w:rPr>
          <w:sz w:val="22"/>
          <w:szCs w:val="22"/>
        </w:rPr>
        <w:t xml:space="preserve"> </w:t>
      </w:r>
      <w:r w:rsidRPr="00D51F6D">
        <w:rPr>
          <w:color w:val="FF0000"/>
          <w:sz w:val="22"/>
          <w:szCs w:val="22"/>
        </w:rPr>
        <w:t>●</w:t>
      </w:r>
      <w:r w:rsidRPr="00D51F6D">
        <w:rPr>
          <w:rFonts w:hint="cs"/>
          <w:sz w:val="22"/>
          <w:szCs w:val="22"/>
          <w:rtl/>
        </w:rPr>
        <w:t>בפני כבוד השופט צבי פרנקל, נ.ע. מר ישראל עמישי, נ.מ. מר שמעון בינון</w:t>
      </w:r>
    </w:p>
    <w:p w:rsidR="005E0D2D" w:rsidRPr="00D51F6D" w:rsidRDefault="005E0D2D" w:rsidP="005E0D2D">
      <w:pPr>
        <w:tabs>
          <w:tab w:val="left" w:pos="44"/>
          <w:tab w:val="left" w:pos="90"/>
        </w:tabs>
        <w:bidi/>
        <w:spacing w:line="360" w:lineRule="auto"/>
        <w:ind w:left="44" w:right="-180"/>
        <w:jc w:val="both"/>
        <w:rPr>
          <w:rFonts w:ascii="Arial" w:hAnsi="Arial"/>
          <w:b/>
          <w:bCs/>
          <w:sz w:val="22"/>
          <w:szCs w:val="22"/>
          <w:u w:val="single"/>
          <w:rtl/>
        </w:rPr>
      </w:pPr>
    </w:p>
    <w:p w:rsidR="000118BE" w:rsidRPr="00BD3500" w:rsidRDefault="000118BE" w:rsidP="00A8553B">
      <w:pPr>
        <w:numPr>
          <w:ilvl w:val="0"/>
          <w:numId w:val="17"/>
        </w:numPr>
        <w:tabs>
          <w:tab w:val="left" w:pos="-334"/>
        </w:tabs>
        <w:bidi/>
        <w:spacing w:line="360" w:lineRule="auto"/>
        <w:ind w:hanging="656"/>
        <w:jc w:val="both"/>
        <w:rPr>
          <w:color w:val="0000FF"/>
          <w:sz w:val="24"/>
        </w:rPr>
      </w:pPr>
      <w:r w:rsidRPr="00BD3500">
        <w:rPr>
          <w:rFonts w:ascii="Arial" w:hAnsi="Arial" w:hint="cs"/>
          <w:b/>
          <w:bCs/>
          <w:color w:val="0000FF"/>
          <w:sz w:val="24"/>
          <w:u w:val="single"/>
          <w:rtl/>
        </w:rPr>
        <w:lastRenderedPageBreak/>
        <w:t>אושרה השעית עובד על יסוד שימוע בכתב</w:t>
      </w:r>
    </w:p>
    <w:p w:rsidR="000118BE" w:rsidRDefault="000118BE" w:rsidP="00E17AA3">
      <w:pPr>
        <w:tabs>
          <w:tab w:val="left" w:pos="-102"/>
        </w:tabs>
        <w:ind w:left="-110"/>
        <w:jc w:val="both"/>
        <w:rPr>
          <w:rFonts w:ascii="Arial" w:hAnsi="Arial"/>
          <w:b/>
          <w:bCs/>
          <w:sz w:val="28"/>
          <w:szCs w:val="28"/>
          <w:rtl/>
        </w:rPr>
      </w:pPr>
    </w:p>
    <w:p w:rsidR="000118BE" w:rsidRPr="00621E0F" w:rsidRDefault="000118BE" w:rsidP="00A8553B">
      <w:pPr>
        <w:tabs>
          <w:tab w:val="left" w:pos="44"/>
          <w:tab w:val="left" w:pos="90"/>
        </w:tabs>
        <w:bidi/>
        <w:spacing w:line="360" w:lineRule="auto"/>
        <w:ind w:left="44" w:right="-180"/>
        <w:jc w:val="both"/>
        <w:rPr>
          <w:b/>
          <w:bCs/>
          <w:rtl/>
        </w:rPr>
      </w:pPr>
      <w:r w:rsidRPr="00621E0F">
        <w:rPr>
          <w:rFonts w:hint="cs"/>
          <w:b/>
          <w:bCs/>
          <w:rtl/>
        </w:rPr>
        <w:t>ב</w:t>
      </w:r>
      <w:r w:rsidRPr="00621E0F">
        <w:rPr>
          <w:b/>
          <w:bCs/>
          <w:rtl/>
        </w:rPr>
        <w:t xml:space="preserve">ית הדין לעבודה </w:t>
      </w:r>
      <w:r w:rsidRPr="00621E0F">
        <w:rPr>
          <w:rFonts w:hint="cs"/>
          <w:b/>
          <w:bCs/>
          <w:rtl/>
        </w:rPr>
        <w:t>דחה בקשתו של מנהל בעירית חדרה ל</w:t>
      </w:r>
      <w:r w:rsidRPr="00621E0F">
        <w:rPr>
          <w:b/>
          <w:bCs/>
          <w:rtl/>
        </w:rPr>
        <w:t>מתן צו מניעה זמני</w:t>
      </w:r>
      <w:r w:rsidRPr="00621E0F">
        <w:rPr>
          <w:rFonts w:hint="cs"/>
          <w:b/>
          <w:bCs/>
          <w:rtl/>
        </w:rPr>
        <w:t xml:space="preserve"> להעברתו לתפקיד שאינו ניהולי עד להכרעה בתביעה העיקרית, לפיה </w:t>
      </w:r>
      <w:r w:rsidRPr="00621E0F">
        <w:rPr>
          <w:b/>
          <w:bCs/>
          <w:rtl/>
        </w:rPr>
        <w:t>במסגרת תפקידו כמנהל אגף משאבי אנוש הוא אישר לעצמו תוספת שכר שלא כדין.</w:t>
      </w:r>
      <w:r w:rsidRPr="00621E0F">
        <w:rPr>
          <w:rFonts w:hint="cs"/>
          <w:b/>
          <w:bCs/>
          <w:rtl/>
        </w:rPr>
        <w:t xml:space="preserve"> המנהל טען, כי </w:t>
      </w:r>
      <w:r w:rsidRPr="00621E0F">
        <w:rPr>
          <w:b/>
          <w:bCs/>
          <w:rtl/>
        </w:rPr>
        <w:t xml:space="preserve">הזימון לשימוע טרם </w:t>
      </w:r>
      <w:r w:rsidRPr="00621E0F">
        <w:rPr>
          <w:rFonts w:hint="cs"/>
          <w:b/>
          <w:bCs/>
          <w:rtl/>
        </w:rPr>
        <w:t>השעייתו</w:t>
      </w:r>
      <w:r w:rsidRPr="00621E0F">
        <w:rPr>
          <w:b/>
          <w:bCs/>
          <w:rtl/>
        </w:rPr>
        <w:t xml:space="preserve"> היה לקוני וחסר כל פירוט </w:t>
      </w:r>
      <w:r w:rsidRPr="00621E0F">
        <w:rPr>
          <w:rFonts w:hint="cs"/>
          <w:b/>
          <w:bCs/>
          <w:rtl/>
        </w:rPr>
        <w:t>וכי לא ניתנה לו</w:t>
      </w:r>
      <w:r w:rsidRPr="00621E0F">
        <w:rPr>
          <w:b/>
          <w:bCs/>
          <w:rtl/>
        </w:rPr>
        <w:t xml:space="preserve"> האפשרות להופיע בפני הנציב באופן אישי ולהציג את טענותיו</w:t>
      </w:r>
      <w:r w:rsidRPr="00621E0F">
        <w:rPr>
          <w:rFonts w:hint="cs"/>
          <w:b/>
          <w:bCs/>
          <w:rtl/>
        </w:rPr>
        <w:t xml:space="preserve">. בית הדין פסק, כי </w:t>
      </w:r>
      <w:r w:rsidRPr="00621E0F">
        <w:rPr>
          <w:b/>
          <w:bCs/>
          <w:rtl/>
        </w:rPr>
        <w:t xml:space="preserve">סמכות הנציב להשעות עובדים </w:t>
      </w:r>
      <w:r w:rsidRPr="00621E0F">
        <w:rPr>
          <w:rFonts w:hint="cs"/>
          <w:b/>
          <w:bCs/>
          <w:rtl/>
        </w:rPr>
        <w:t xml:space="preserve">הינה </w:t>
      </w:r>
      <w:r w:rsidRPr="00621E0F">
        <w:rPr>
          <w:b/>
          <w:bCs/>
          <w:rtl/>
        </w:rPr>
        <w:t>רחבה</w:t>
      </w:r>
      <w:r w:rsidRPr="00621E0F">
        <w:rPr>
          <w:rFonts w:hint="cs"/>
          <w:b/>
          <w:bCs/>
          <w:rtl/>
        </w:rPr>
        <w:t>, וכ</w:t>
      </w:r>
      <w:r w:rsidRPr="00621E0F">
        <w:rPr>
          <w:b/>
          <w:bCs/>
          <w:rtl/>
        </w:rPr>
        <w:t xml:space="preserve">שבית הדין מעביר תחת שבט ביקורתו החלטת השעיה </w:t>
      </w:r>
      <w:r w:rsidRPr="00621E0F">
        <w:rPr>
          <w:rFonts w:hint="cs"/>
          <w:b/>
          <w:bCs/>
          <w:rtl/>
        </w:rPr>
        <w:t xml:space="preserve">מנהלית </w:t>
      </w:r>
      <w:r w:rsidRPr="00621E0F">
        <w:rPr>
          <w:b/>
          <w:bCs/>
          <w:rtl/>
        </w:rPr>
        <w:t>שקיבל הנציב</w:t>
      </w:r>
      <w:r w:rsidRPr="00621E0F">
        <w:rPr>
          <w:rFonts w:hint="cs"/>
          <w:b/>
          <w:bCs/>
          <w:rtl/>
        </w:rPr>
        <w:t xml:space="preserve">, הוא אינו ממיר את שיקול דעתו של הנציב בשיקול בית הדין, אלא </w:t>
      </w:r>
      <w:r w:rsidRPr="00621E0F">
        <w:rPr>
          <w:b/>
          <w:bCs/>
          <w:rtl/>
        </w:rPr>
        <w:t>בוחן את החלטת ההשעיה לפי הכללים המקובלים להתערבות בהחלטה מנהלית</w:t>
      </w:r>
      <w:r w:rsidRPr="00621E0F">
        <w:rPr>
          <w:rFonts w:hint="cs"/>
          <w:b/>
          <w:bCs/>
          <w:rtl/>
        </w:rPr>
        <w:t>,</w:t>
      </w:r>
      <w:r w:rsidRPr="00621E0F">
        <w:rPr>
          <w:b/>
          <w:bCs/>
          <w:rtl/>
        </w:rPr>
        <w:t xml:space="preserve"> דהיינו: האם החלטת ההשעיה התקבלה כדין, באופן ענייני, בתום לב, באופן סביר ותוך שמירה על כללי הצדק הטבעי. בנסיבות העניין, </w:t>
      </w:r>
      <w:r w:rsidRPr="00621E0F">
        <w:rPr>
          <w:rFonts w:hint="cs"/>
          <w:b/>
          <w:bCs/>
          <w:rtl/>
        </w:rPr>
        <w:t xml:space="preserve">בית הדין פסק, כי המנהל </w:t>
      </w:r>
      <w:r w:rsidRPr="00621E0F">
        <w:rPr>
          <w:b/>
          <w:bCs/>
          <w:rtl/>
        </w:rPr>
        <w:t xml:space="preserve">קיבל הזדמנות </w:t>
      </w:r>
      <w:r w:rsidRPr="00621E0F">
        <w:rPr>
          <w:rFonts w:hint="cs"/>
          <w:b/>
          <w:bCs/>
          <w:rtl/>
        </w:rPr>
        <w:t>ל</w:t>
      </w:r>
      <w:r w:rsidRPr="00621E0F">
        <w:rPr>
          <w:b/>
          <w:bCs/>
          <w:rtl/>
        </w:rPr>
        <w:t>השמיע את טענותיו</w:t>
      </w:r>
      <w:r w:rsidRPr="00621E0F">
        <w:rPr>
          <w:rFonts w:hint="cs"/>
          <w:b/>
          <w:bCs/>
          <w:rtl/>
        </w:rPr>
        <w:t>, ה</w:t>
      </w:r>
      <w:r w:rsidRPr="00621E0F">
        <w:rPr>
          <w:b/>
          <w:bCs/>
          <w:rtl/>
        </w:rPr>
        <w:t xml:space="preserve">וזמן לשימוע בכתב טרם קבלת החלטה בדבר השעייתו </w:t>
      </w:r>
      <w:r w:rsidRPr="00621E0F">
        <w:rPr>
          <w:rFonts w:hint="cs"/>
          <w:b/>
          <w:bCs/>
          <w:rtl/>
        </w:rPr>
        <w:t xml:space="preserve">וכי </w:t>
      </w:r>
      <w:r w:rsidRPr="00621E0F">
        <w:rPr>
          <w:b/>
          <w:bCs/>
          <w:rtl/>
        </w:rPr>
        <w:t>לא נפל פגם בכך שלא ניתנה למבקש האפשרות להופיע בפני הנציב ולהציג את טענותיו</w:t>
      </w:r>
      <w:r w:rsidRPr="00621E0F">
        <w:rPr>
          <w:rFonts w:hint="cs"/>
          <w:b/>
          <w:bCs/>
          <w:rtl/>
        </w:rPr>
        <w:t xml:space="preserve"> גם</w:t>
      </w:r>
      <w:r w:rsidRPr="00621E0F">
        <w:rPr>
          <w:b/>
          <w:bCs/>
          <w:rtl/>
        </w:rPr>
        <w:t xml:space="preserve"> באופן אישי</w:t>
      </w:r>
      <w:r w:rsidRPr="00621E0F">
        <w:rPr>
          <w:rFonts w:hint="cs"/>
          <w:b/>
          <w:bCs/>
          <w:rtl/>
        </w:rPr>
        <w:t>, בעל-פה,</w:t>
      </w:r>
      <w:r w:rsidRPr="00621E0F">
        <w:rPr>
          <w:b/>
          <w:bCs/>
          <w:rtl/>
        </w:rPr>
        <w:t xml:space="preserve"> טרם קבלת ההחלטה בעניינו. </w:t>
      </w:r>
      <w:r w:rsidRPr="00621E0F">
        <w:rPr>
          <w:rFonts w:hint="cs"/>
          <w:b/>
          <w:bCs/>
          <w:rtl/>
        </w:rPr>
        <w:t xml:space="preserve">בית הדין פסק, כי </w:t>
      </w:r>
      <w:r w:rsidRPr="00621E0F">
        <w:rPr>
          <w:b/>
          <w:bCs/>
          <w:rtl/>
        </w:rPr>
        <w:t>זכות השימוע יכול</w:t>
      </w:r>
      <w:r w:rsidRPr="00621E0F">
        <w:rPr>
          <w:rFonts w:hint="cs"/>
          <w:b/>
          <w:bCs/>
          <w:rtl/>
        </w:rPr>
        <w:t>ה</w:t>
      </w:r>
      <w:r w:rsidRPr="00621E0F">
        <w:rPr>
          <w:b/>
          <w:bCs/>
          <w:rtl/>
        </w:rPr>
        <w:t xml:space="preserve"> שתינתן בצורות שונות ומגוונות ואין חובה ליתן זכות שימוע דווקא בעל-פה</w:t>
      </w:r>
      <w:r w:rsidRPr="00621E0F">
        <w:rPr>
          <w:rFonts w:hint="cs"/>
          <w:b/>
          <w:bCs/>
          <w:rtl/>
        </w:rPr>
        <w:t xml:space="preserve"> וכי אי לכך על העובד לשאת בהוצאות בסך של 1,500₪.</w:t>
      </w:r>
    </w:p>
    <w:p w:rsidR="000118BE" w:rsidRPr="00621E0F" w:rsidRDefault="000118BE" w:rsidP="00A8553B">
      <w:pPr>
        <w:tabs>
          <w:tab w:val="left" w:pos="44"/>
          <w:tab w:val="left" w:pos="90"/>
        </w:tabs>
        <w:bidi/>
        <w:spacing w:line="360" w:lineRule="auto"/>
        <w:ind w:left="44" w:right="-180"/>
        <w:jc w:val="both"/>
        <w:rPr>
          <w:b/>
          <w:bCs/>
          <w:sz w:val="22"/>
          <w:szCs w:val="22"/>
          <w:rtl/>
        </w:rPr>
      </w:pPr>
      <w:r w:rsidRPr="00621E0F">
        <w:rPr>
          <w:rFonts w:ascii="David" w:hAnsi="David"/>
          <w:sz w:val="22"/>
          <w:szCs w:val="22"/>
          <w:rtl/>
        </w:rPr>
        <w:t>פ"ה</w:t>
      </w:r>
      <w:r w:rsidRPr="00621E0F">
        <w:rPr>
          <w:rFonts w:ascii="David" w:hAnsi="David" w:hint="cs"/>
          <w:sz w:val="22"/>
          <w:szCs w:val="22"/>
          <w:rtl/>
        </w:rPr>
        <w:t xml:space="preserve"> (חיפה)</w:t>
      </w:r>
      <w:r w:rsidRPr="00621E0F">
        <w:rPr>
          <w:b/>
          <w:bCs/>
          <w:sz w:val="22"/>
          <w:szCs w:val="22"/>
          <w:rtl/>
        </w:rPr>
        <w:t xml:space="preserve"> </w:t>
      </w:r>
      <w:r w:rsidRPr="00621E0F">
        <w:rPr>
          <w:rFonts w:ascii="David" w:hAnsi="David"/>
          <w:sz w:val="22"/>
          <w:szCs w:val="22"/>
          <w:rtl/>
        </w:rPr>
        <w:t>42650-04-13</w:t>
      </w:r>
      <w:r w:rsidRPr="00621E0F">
        <w:rPr>
          <w:rFonts w:ascii="David" w:hAnsi="David" w:hint="cs"/>
          <w:sz w:val="22"/>
          <w:szCs w:val="22"/>
          <w:rtl/>
        </w:rPr>
        <w:t xml:space="preserve"> </w:t>
      </w:r>
      <w:r w:rsidRPr="00621E0F">
        <w:rPr>
          <w:color w:val="FF0000"/>
          <w:sz w:val="22"/>
          <w:szCs w:val="22"/>
        </w:rPr>
        <w:t>●</w:t>
      </w:r>
      <w:r w:rsidRPr="00621E0F">
        <w:rPr>
          <w:rFonts w:ascii="David" w:hAnsi="David" w:hint="cs"/>
          <w:sz w:val="22"/>
          <w:szCs w:val="22"/>
          <w:rtl/>
        </w:rPr>
        <w:t xml:space="preserve"> </w:t>
      </w:r>
      <w:r w:rsidRPr="008469B5">
        <w:rPr>
          <w:rFonts w:ascii="David" w:hAnsi="David" w:hint="cs"/>
          <w:b/>
          <w:bCs/>
          <w:color w:val="FF0000"/>
          <w:sz w:val="22"/>
          <w:szCs w:val="22"/>
          <w:rtl/>
        </w:rPr>
        <w:t xml:space="preserve">אביחיל שובל נ' נציב שירות המדינה ואח' </w:t>
      </w:r>
      <w:r w:rsidRPr="008469B5">
        <w:rPr>
          <w:rFonts w:ascii="David" w:hAnsi="David" w:hint="cs"/>
          <w:color w:val="FF0000"/>
          <w:sz w:val="22"/>
          <w:szCs w:val="22"/>
          <w:rtl/>
        </w:rPr>
        <w:t xml:space="preserve"> </w:t>
      </w:r>
      <w:r w:rsidRPr="00621E0F">
        <w:rPr>
          <w:rFonts w:ascii="David" w:hAnsi="David" w:hint="cs"/>
          <w:sz w:val="22"/>
          <w:szCs w:val="22"/>
          <w:rtl/>
        </w:rPr>
        <w:t>(21.7.13)</w:t>
      </w:r>
      <w:r w:rsidRPr="00621E0F">
        <w:rPr>
          <w:rFonts w:hint="cs"/>
          <w:sz w:val="22"/>
          <w:szCs w:val="22"/>
          <w:rtl/>
        </w:rPr>
        <w:t xml:space="preserve"> </w:t>
      </w:r>
      <w:r w:rsidRPr="00621E0F">
        <w:rPr>
          <w:sz w:val="22"/>
          <w:szCs w:val="22"/>
        </w:rPr>
        <w:t xml:space="preserve"> </w:t>
      </w:r>
      <w:r w:rsidRPr="00621E0F">
        <w:rPr>
          <w:color w:val="FF0000"/>
          <w:sz w:val="22"/>
          <w:szCs w:val="22"/>
        </w:rPr>
        <w:t>●</w:t>
      </w:r>
      <w:r w:rsidRPr="00621E0F">
        <w:rPr>
          <w:rFonts w:ascii="David" w:hAnsi="David" w:hint="cs"/>
          <w:sz w:val="22"/>
          <w:szCs w:val="22"/>
          <w:rtl/>
        </w:rPr>
        <w:t>בפני כבוד השופטת איריס רש, נ.מ. מר יגאל צדוק, נ.ע. מר אריה גור</w:t>
      </w:r>
    </w:p>
    <w:p w:rsidR="000118BE" w:rsidRDefault="000118BE" w:rsidP="00A8553B">
      <w:pPr>
        <w:tabs>
          <w:tab w:val="left" w:pos="-316"/>
          <w:tab w:val="left" w:pos="90"/>
        </w:tabs>
        <w:bidi/>
        <w:spacing w:line="360" w:lineRule="auto"/>
        <w:ind w:left="-242" w:right="-180"/>
        <w:jc w:val="both"/>
        <w:rPr>
          <w:rFonts w:ascii="Arial" w:hAnsi="Arial"/>
          <w:b/>
          <w:bCs/>
          <w:color w:val="008000"/>
          <w:sz w:val="28"/>
          <w:szCs w:val="28"/>
          <w:u w:val="single"/>
          <w:rtl/>
        </w:rPr>
      </w:pPr>
      <w:r>
        <w:rPr>
          <w:rFonts w:ascii="Arial" w:hAnsi="Arial" w:hint="cs"/>
          <w:b/>
          <w:bCs/>
          <w:color w:val="008000"/>
          <w:sz w:val="28"/>
          <w:szCs w:val="28"/>
          <w:u w:val="single"/>
          <w:rtl/>
        </w:rPr>
        <w:t xml:space="preserve">  </w:t>
      </w:r>
    </w:p>
    <w:p w:rsidR="000118BE" w:rsidRDefault="000118BE" w:rsidP="00A8553B">
      <w:pPr>
        <w:numPr>
          <w:ilvl w:val="0"/>
          <w:numId w:val="5"/>
        </w:numPr>
        <w:bidi/>
        <w:spacing w:line="360" w:lineRule="auto"/>
        <w:jc w:val="both"/>
        <w:outlineLvl w:val="2"/>
        <w:rPr>
          <w:rFonts w:ascii="David" w:hAnsi="David"/>
          <w:b/>
          <w:bCs/>
          <w:color w:val="FF0000"/>
          <w:sz w:val="32"/>
          <w:szCs w:val="26"/>
          <w:u w:val="single"/>
        </w:rPr>
      </w:pPr>
      <w:bookmarkStart w:id="49" w:name="_Toc228152676"/>
      <w:bookmarkStart w:id="50" w:name="_Toc383530621"/>
      <w:bookmarkStart w:id="51" w:name="_Toc383587159"/>
      <w:bookmarkStart w:id="52" w:name="_Toc383587364"/>
      <w:bookmarkStart w:id="53" w:name="_Toc383587806"/>
      <w:r>
        <w:rPr>
          <w:rFonts w:ascii="David" w:hAnsi="David" w:hint="cs"/>
          <w:b/>
          <w:bCs/>
          <w:color w:val="FF0000"/>
          <w:sz w:val="32"/>
          <w:szCs w:val="26"/>
          <w:u w:val="single"/>
          <w:rtl/>
        </w:rPr>
        <w:t>אכיפה או פיצוי בגין פיטורים שלא כדין</w:t>
      </w:r>
      <w:bookmarkEnd w:id="49"/>
      <w:bookmarkEnd w:id="50"/>
      <w:bookmarkEnd w:id="51"/>
      <w:bookmarkEnd w:id="52"/>
      <w:bookmarkEnd w:id="53"/>
    </w:p>
    <w:p w:rsidR="000118BE" w:rsidRPr="00BD3500" w:rsidRDefault="000118BE" w:rsidP="00E17AA3">
      <w:pPr>
        <w:bidi/>
        <w:ind w:left="360"/>
        <w:jc w:val="both"/>
        <w:outlineLvl w:val="2"/>
        <w:rPr>
          <w:rFonts w:ascii="David" w:hAnsi="David"/>
          <w:b/>
          <w:bCs/>
          <w:color w:val="0000FF"/>
          <w:sz w:val="32"/>
          <w:szCs w:val="26"/>
          <w:u w:val="single"/>
        </w:rPr>
      </w:pPr>
    </w:p>
    <w:p w:rsidR="000118BE" w:rsidRPr="00BD3500" w:rsidRDefault="000118BE" w:rsidP="00A8553B">
      <w:pPr>
        <w:numPr>
          <w:ilvl w:val="0"/>
          <w:numId w:val="15"/>
        </w:numPr>
        <w:tabs>
          <w:tab w:val="left" w:pos="-334"/>
        </w:tabs>
        <w:bidi/>
        <w:spacing w:line="360" w:lineRule="auto"/>
        <w:ind w:hanging="26"/>
        <w:jc w:val="both"/>
        <w:rPr>
          <w:rFonts w:ascii="Arial" w:hAnsi="Arial"/>
          <w:b/>
          <w:bCs/>
          <w:color w:val="0000FF"/>
          <w:sz w:val="24"/>
          <w:u w:val="single"/>
          <w:rtl/>
        </w:rPr>
      </w:pPr>
      <w:r w:rsidRPr="00BD3500">
        <w:rPr>
          <w:rFonts w:ascii="Arial" w:hAnsi="Arial" w:hint="cs"/>
          <w:b/>
          <w:bCs/>
          <w:color w:val="0000FF"/>
          <w:sz w:val="24"/>
          <w:u w:val="single"/>
          <w:rtl/>
        </w:rPr>
        <w:t>פיצוי חריג בגובה 24 משכורות לחושפת שחיתויות שפוטרה שלא כדין</w:t>
      </w:r>
    </w:p>
    <w:p w:rsidR="000118BE" w:rsidRPr="001C389F" w:rsidRDefault="000118BE" w:rsidP="00E17AA3">
      <w:pPr>
        <w:tabs>
          <w:tab w:val="left" w:pos="-102"/>
        </w:tabs>
        <w:ind w:left="-110"/>
        <w:jc w:val="both"/>
        <w:rPr>
          <w:rFonts w:ascii="Arial" w:hAnsi="Arial"/>
          <w:b/>
          <w:bCs/>
          <w:sz w:val="24"/>
          <w:rtl/>
        </w:rPr>
      </w:pPr>
    </w:p>
    <w:p w:rsidR="000118BE" w:rsidRPr="000C0269" w:rsidRDefault="000118BE" w:rsidP="00A8553B">
      <w:pPr>
        <w:tabs>
          <w:tab w:val="left" w:pos="-102"/>
        </w:tabs>
        <w:bidi/>
        <w:spacing w:line="360" w:lineRule="auto"/>
        <w:ind w:left="-115"/>
        <w:jc w:val="both"/>
        <w:rPr>
          <w:b/>
          <w:bCs/>
          <w:rtl/>
        </w:rPr>
      </w:pPr>
      <w:r w:rsidRPr="000C0269">
        <w:rPr>
          <w:rFonts w:hint="cs"/>
          <w:b/>
          <w:bCs/>
          <w:rtl/>
        </w:rPr>
        <w:t xml:space="preserve">המערערת, עובדת עיריית יהוד, פוטרה מתפקידה לאחר מערכת יחסי עבודה רווית סכסוכים עם העירייה, שנמשכה זמן רב וכללה תביעות הדדיות. העובדת טענה כי העירייה התנכלה לה במשך שנים בשל היותה חושפת שחיתויות בתחום התכנון והבניה מאז שנת 2006. העירייה טענה, כי מדובר בעובדת בעייתית אשר פעלה, במשך השנים, ממניעים זרים ובחוסר תום לב. בית הדין קבע, כי עובד המעלה טענת "חושף שחיתויות" אינו מוגן מבחינת תפקודו כעובד, ועליו הנטל להוכיח קשר סיבתי בין התלונה שהגיש, לבין הפגיעה במעמדו כעובד. במקרה דנן, נקבע כי העובדת הוכיחה שלתלונות שהגישה הייתה השפעה ישירה על הפגיעה בתנאי העסקתה. משכך, עבר נטל ההוכחה לעירייה להוכיח כי הפיטורים נבעו משיקולים ענייניים וכחלק מהפררוגטיבה שלה כמעביד </w:t>
      </w:r>
      <w:r>
        <w:rPr>
          <w:rFonts w:hint="cs"/>
          <w:b/>
          <w:bCs/>
          <w:rtl/>
        </w:rPr>
        <w:t>-</w:t>
      </w:r>
      <w:r w:rsidRPr="000C0269">
        <w:rPr>
          <w:rFonts w:hint="cs"/>
          <w:b/>
          <w:bCs/>
          <w:rtl/>
        </w:rPr>
        <w:t xml:space="preserve"> והיא נכשל</w:t>
      </w:r>
      <w:r>
        <w:rPr>
          <w:rFonts w:hint="cs"/>
          <w:b/>
          <w:bCs/>
          <w:rtl/>
        </w:rPr>
        <w:t xml:space="preserve"> </w:t>
      </w:r>
      <w:r w:rsidRPr="000C0269">
        <w:rPr>
          <w:rFonts w:hint="cs"/>
          <w:b/>
          <w:bCs/>
          <w:rtl/>
        </w:rPr>
        <w:t>ה בכך. בית הדין עמד על חומרת הפגם שדבק בפיטורי העובדת מחד, ועל הזמן שחלף והקושי שבמימוש סעד האכיפה, מאידך. משכך, נפסקו לעובדת פיצויים בגין פיטורין שלא כדין בשיעור חריג של 24 משכורות.</w:t>
      </w:r>
    </w:p>
    <w:p w:rsidR="000118BE" w:rsidRPr="000C0269" w:rsidRDefault="000118BE" w:rsidP="00A8553B">
      <w:pPr>
        <w:tabs>
          <w:tab w:val="left" w:pos="90"/>
        </w:tabs>
        <w:bidi/>
        <w:spacing w:line="360" w:lineRule="auto"/>
        <w:ind w:left="-90"/>
        <w:jc w:val="both"/>
        <w:rPr>
          <w:b/>
          <w:bCs/>
          <w:sz w:val="22"/>
          <w:szCs w:val="22"/>
          <w:rtl/>
        </w:rPr>
      </w:pPr>
      <w:r w:rsidRPr="000C0269">
        <w:rPr>
          <w:rFonts w:hint="cs"/>
          <w:sz w:val="22"/>
          <w:szCs w:val="22"/>
          <w:rtl/>
        </w:rPr>
        <w:t xml:space="preserve">ע"ע  (ארצי) 17365-11-11 </w:t>
      </w:r>
      <w:r w:rsidRPr="000C0269">
        <w:rPr>
          <w:color w:val="FF0000"/>
          <w:sz w:val="22"/>
          <w:szCs w:val="22"/>
        </w:rPr>
        <w:t>●</w:t>
      </w:r>
      <w:r w:rsidRPr="000C0269">
        <w:rPr>
          <w:rFonts w:hint="cs"/>
          <w:b/>
          <w:bCs/>
          <w:color w:val="FF0000"/>
          <w:sz w:val="22"/>
          <w:szCs w:val="22"/>
          <w:rtl/>
        </w:rPr>
        <w:t xml:space="preserve"> </w:t>
      </w:r>
      <w:r w:rsidRPr="008469B5">
        <w:rPr>
          <w:rFonts w:hint="cs"/>
          <w:b/>
          <w:bCs/>
          <w:color w:val="FF0000"/>
          <w:sz w:val="22"/>
          <w:szCs w:val="22"/>
          <w:rtl/>
        </w:rPr>
        <w:t xml:space="preserve">ג'קלין סויסה נ' עיריית יהוד </w:t>
      </w:r>
      <w:r w:rsidRPr="000C0269">
        <w:rPr>
          <w:rFonts w:hint="cs"/>
          <w:sz w:val="22"/>
          <w:szCs w:val="22"/>
          <w:rtl/>
        </w:rPr>
        <w:t xml:space="preserve">(05.03.2014) </w:t>
      </w:r>
      <w:r w:rsidRPr="000C0269">
        <w:rPr>
          <w:sz w:val="22"/>
          <w:szCs w:val="22"/>
        </w:rPr>
        <w:t xml:space="preserve"> </w:t>
      </w:r>
      <w:r w:rsidRPr="000C0269">
        <w:rPr>
          <w:color w:val="FF0000"/>
          <w:sz w:val="22"/>
          <w:szCs w:val="22"/>
        </w:rPr>
        <w:t>●</w:t>
      </w:r>
      <w:r w:rsidRPr="000C0269">
        <w:rPr>
          <w:rFonts w:hint="cs"/>
          <w:sz w:val="22"/>
          <w:szCs w:val="22"/>
          <w:rtl/>
        </w:rPr>
        <w:t xml:space="preserve">בפני כבוד סגנית הנשיאה ורדה וירט </w:t>
      </w:r>
      <w:r w:rsidRPr="000C0269">
        <w:rPr>
          <w:sz w:val="22"/>
          <w:szCs w:val="22"/>
          <w:rtl/>
        </w:rPr>
        <w:t>–</w:t>
      </w:r>
      <w:r w:rsidRPr="000C0269">
        <w:rPr>
          <w:rFonts w:hint="cs"/>
          <w:sz w:val="22"/>
          <w:szCs w:val="22"/>
          <w:rtl/>
        </w:rPr>
        <w:t xml:space="preserve"> ליבנה, כבוד השופטת רונית רוזנפלד, כבוד השופט אילן סופר, נציג ציבור (עובדים) מר אליעזר ויץ, נציג ציבור (מעבידים) מר יצחק דויטש</w:t>
      </w:r>
    </w:p>
    <w:p w:rsidR="000118BE" w:rsidRPr="00BD3500" w:rsidRDefault="000118BE" w:rsidP="00A8553B">
      <w:pPr>
        <w:numPr>
          <w:ilvl w:val="0"/>
          <w:numId w:val="15"/>
        </w:numPr>
        <w:tabs>
          <w:tab w:val="clear" w:pos="250"/>
          <w:tab w:val="left" w:pos="-334"/>
          <w:tab w:val="num" w:pos="647"/>
        </w:tabs>
        <w:bidi/>
        <w:spacing w:line="360" w:lineRule="auto"/>
        <w:ind w:left="647" w:hanging="426"/>
        <w:jc w:val="both"/>
        <w:rPr>
          <w:rFonts w:ascii="Arial" w:hAnsi="Arial"/>
          <w:b/>
          <w:bCs/>
          <w:color w:val="0000FF"/>
          <w:sz w:val="24"/>
          <w:u w:val="single"/>
          <w:rtl/>
        </w:rPr>
      </w:pPr>
      <w:r w:rsidRPr="00BD3500">
        <w:rPr>
          <w:rFonts w:ascii="Arial" w:hAnsi="Arial" w:hint="cs"/>
          <w:b/>
          <w:bCs/>
          <w:color w:val="0000FF"/>
          <w:sz w:val="24"/>
          <w:u w:val="single"/>
          <w:rtl/>
        </w:rPr>
        <w:lastRenderedPageBreak/>
        <w:t>50,000 ₪ פיצוי לעובד רכבת שהתלונן על שחיתות ופוטר שלא כדין בנוסף להשבתו לעבודה ותשלום שכרו עד להשבתו</w:t>
      </w:r>
    </w:p>
    <w:p w:rsidR="000118BE" w:rsidRDefault="000118BE" w:rsidP="00E17AA3">
      <w:pPr>
        <w:tabs>
          <w:tab w:val="left" w:pos="0"/>
          <w:tab w:val="left" w:pos="44"/>
        </w:tabs>
        <w:bidi/>
        <w:ind w:left="44"/>
        <w:jc w:val="both"/>
        <w:rPr>
          <w:rFonts w:eastAsia="Calibri"/>
          <w:b/>
          <w:bCs/>
          <w:color w:val="000000"/>
          <w:sz w:val="24"/>
          <w:rtl/>
        </w:rPr>
      </w:pPr>
    </w:p>
    <w:p w:rsidR="000118BE" w:rsidRPr="007C193A" w:rsidRDefault="000118BE" w:rsidP="00A8553B">
      <w:pPr>
        <w:tabs>
          <w:tab w:val="left" w:pos="-102"/>
        </w:tabs>
        <w:bidi/>
        <w:spacing w:line="360" w:lineRule="auto"/>
        <w:ind w:left="-115"/>
        <w:jc w:val="both"/>
        <w:rPr>
          <w:rFonts w:eastAsia="Calibri"/>
          <w:b/>
          <w:bCs/>
          <w:color w:val="000000"/>
          <w:sz w:val="24"/>
          <w:rtl/>
        </w:rPr>
      </w:pPr>
      <w:r w:rsidRPr="007C193A">
        <w:rPr>
          <w:rFonts w:eastAsia="Calibri" w:hint="cs"/>
          <w:b/>
          <w:bCs/>
          <w:color w:val="000000"/>
          <w:sz w:val="24"/>
          <w:rtl/>
        </w:rPr>
        <w:t xml:space="preserve">בית-הדין הארצי דחה את ערעורה של רכבת ישראל ופסק, </w:t>
      </w:r>
      <w:r w:rsidRPr="007C193A">
        <w:rPr>
          <w:rFonts w:eastAsia="Calibri"/>
          <w:b/>
          <w:bCs/>
          <w:color w:val="000000"/>
          <w:sz w:val="24"/>
          <w:rtl/>
        </w:rPr>
        <w:t xml:space="preserve">כי ההחלטה לפטר את </w:t>
      </w:r>
      <w:r w:rsidRPr="007C193A">
        <w:rPr>
          <w:rFonts w:eastAsia="Calibri" w:hint="cs"/>
          <w:b/>
          <w:bCs/>
          <w:color w:val="000000"/>
          <w:sz w:val="24"/>
          <w:rtl/>
        </w:rPr>
        <w:t>עובד הרכבת</w:t>
      </w:r>
      <w:r w:rsidRPr="007C193A">
        <w:rPr>
          <w:rFonts w:eastAsia="Calibri"/>
          <w:b/>
          <w:bCs/>
          <w:color w:val="000000"/>
          <w:sz w:val="24"/>
          <w:rtl/>
        </w:rPr>
        <w:t xml:space="preserve"> הייתה תוצאה ישירה של התלונות שהוגשו על ידו</w:t>
      </w:r>
      <w:r w:rsidRPr="007C193A">
        <w:rPr>
          <w:rFonts w:eastAsia="Calibri" w:hint="cs"/>
          <w:b/>
          <w:bCs/>
          <w:color w:val="000000"/>
          <w:sz w:val="24"/>
          <w:rtl/>
        </w:rPr>
        <w:t xml:space="preserve"> על שחיתויות בחברה.</w:t>
      </w:r>
      <w:r w:rsidRPr="007C193A">
        <w:rPr>
          <w:rFonts w:eastAsia="Calibri"/>
          <w:b/>
          <w:bCs/>
          <w:color w:val="000000"/>
          <w:sz w:val="24"/>
          <w:rtl/>
        </w:rPr>
        <w:t xml:space="preserve"> </w:t>
      </w:r>
      <w:r w:rsidRPr="007C193A">
        <w:rPr>
          <w:rFonts w:eastAsia="Calibri" w:hint="cs"/>
          <w:b/>
          <w:bCs/>
          <w:color w:val="000000"/>
          <w:sz w:val="24"/>
          <w:rtl/>
        </w:rPr>
        <w:t>בית הדין הארצי פסק, כי</w:t>
      </w:r>
      <w:r w:rsidRPr="007C193A">
        <w:rPr>
          <w:rFonts w:eastAsia="Calibri"/>
          <w:b/>
          <w:bCs/>
          <w:color w:val="000000"/>
          <w:sz w:val="24"/>
          <w:rtl/>
        </w:rPr>
        <w:t xml:space="preserve"> </w:t>
      </w:r>
      <w:r w:rsidRPr="007C193A">
        <w:rPr>
          <w:rFonts w:eastAsia="Calibri" w:hint="cs"/>
          <w:b/>
          <w:bCs/>
          <w:color w:val="000000"/>
          <w:sz w:val="24"/>
          <w:rtl/>
        </w:rPr>
        <w:t>העובד</w:t>
      </w:r>
      <w:r w:rsidRPr="007C193A">
        <w:rPr>
          <w:rFonts w:eastAsia="Calibri"/>
          <w:b/>
          <w:bCs/>
          <w:color w:val="000000"/>
          <w:sz w:val="24"/>
          <w:rtl/>
        </w:rPr>
        <w:t xml:space="preserve"> סבל מהתנכלויות ורדיפה בעקבות התלונות שהוגשו על ידו, </w:t>
      </w:r>
      <w:r w:rsidRPr="007C193A">
        <w:rPr>
          <w:rFonts w:eastAsia="Calibri" w:hint="cs"/>
          <w:b/>
          <w:bCs/>
          <w:color w:val="000000"/>
          <w:sz w:val="24"/>
          <w:rtl/>
        </w:rPr>
        <w:t>לאור דרישתו</w:t>
      </w:r>
      <w:r w:rsidRPr="007C193A">
        <w:rPr>
          <w:rFonts w:eastAsia="Calibri"/>
          <w:b/>
          <w:bCs/>
          <w:color w:val="000000"/>
          <w:sz w:val="24"/>
          <w:rtl/>
        </w:rPr>
        <w:t xml:space="preserve"> לקיים בחירות ליו"ר ועד העובדים ובקשתו להיבחר לוועד העובדים, והן אלו שהובילו לפיטוריו. </w:t>
      </w:r>
    </w:p>
    <w:p w:rsidR="000118BE" w:rsidRPr="007C193A" w:rsidRDefault="000118BE" w:rsidP="00A8553B">
      <w:pPr>
        <w:tabs>
          <w:tab w:val="left" w:pos="-102"/>
        </w:tabs>
        <w:bidi/>
        <w:spacing w:line="360" w:lineRule="auto"/>
        <w:ind w:left="-115"/>
        <w:jc w:val="both"/>
        <w:rPr>
          <w:rFonts w:eastAsia="Calibri"/>
          <w:b/>
          <w:bCs/>
          <w:color w:val="000000"/>
          <w:sz w:val="24"/>
          <w:rtl/>
        </w:rPr>
      </w:pPr>
      <w:r w:rsidRPr="007C193A">
        <w:rPr>
          <w:rFonts w:eastAsia="Calibri"/>
          <w:b/>
          <w:bCs/>
          <w:color w:val="000000"/>
          <w:sz w:val="24"/>
          <w:rtl/>
        </w:rPr>
        <w:t>ביה"ד הארצי פסק כי נסיבות העניין וחומרת המעשים שבוצעו כלפי העובד מצדיקים פסיקת פיצוי כספי בסך 50,000₪ בגין עגמת נפש, נוסף על סעד ההשבה לעבודה. כן זכאי העובד לפיצוי על אובדן השתכרותו מיום פיטוריו ועד חזרתו לעבודה. בנוסף, יוצאו מכתבי התלונה שעל בסיסם פוטר העובד מתיקו האישי.</w:t>
      </w:r>
      <w:r w:rsidRPr="007C193A">
        <w:rPr>
          <w:rFonts w:eastAsia="Calibri" w:hint="cs"/>
          <w:b/>
          <w:bCs/>
          <w:color w:val="000000"/>
          <w:sz w:val="24"/>
          <w:rtl/>
        </w:rPr>
        <w:t xml:space="preserve"> </w:t>
      </w:r>
    </w:p>
    <w:p w:rsidR="000118BE" w:rsidRDefault="000118BE" w:rsidP="00A8553B">
      <w:pPr>
        <w:tabs>
          <w:tab w:val="left" w:pos="-102"/>
        </w:tabs>
        <w:bidi/>
        <w:spacing w:line="360" w:lineRule="auto"/>
        <w:ind w:left="-115"/>
        <w:jc w:val="both"/>
        <w:rPr>
          <w:rFonts w:ascii="David" w:hAnsi="David"/>
          <w:b/>
          <w:bCs/>
          <w:color w:val="FF0000"/>
          <w:sz w:val="32"/>
          <w:szCs w:val="26"/>
          <w:u w:val="single"/>
          <w:rtl/>
        </w:rPr>
      </w:pPr>
      <w:r>
        <w:rPr>
          <w:rFonts w:ascii="David" w:hAnsi="David" w:hint="cs"/>
          <w:color w:val="000000"/>
          <w:sz w:val="22"/>
          <w:szCs w:val="22"/>
          <w:rtl/>
        </w:rPr>
        <w:t>ע"ע 48067-10-11 ו- ע"ע 20567-11-11</w:t>
      </w:r>
      <w:r>
        <w:rPr>
          <w:rFonts w:hint="cs"/>
          <w:color w:val="FF0000"/>
          <w:sz w:val="22"/>
          <w:szCs w:val="22"/>
          <w:rtl/>
        </w:rPr>
        <w:t xml:space="preserve"> </w:t>
      </w:r>
      <w:r w:rsidRPr="004A3CD9">
        <w:rPr>
          <w:color w:val="FF0000"/>
          <w:sz w:val="22"/>
          <w:szCs w:val="22"/>
        </w:rPr>
        <w:t>●</w:t>
      </w:r>
      <w:r w:rsidRPr="004A3CD9">
        <w:rPr>
          <w:rFonts w:hint="cs"/>
          <w:color w:val="2B003A"/>
          <w:sz w:val="22"/>
          <w:szCs w:val="22"/>
          <w:rtl/>
        </w:rPr>
        <w:t xml:space="preserve"> </w:t>
      </w:r>
      <w:r w:rsidRPr="008469B5">
        <w:rPr>
          <w:rFonts w:ascii="David" w:hAnsi="David" w:hint="cs"/>
          <w:b/>
          <w:bCs/>
          <w:color w:val="FF0000"/>
          <w:sz w:val="22"/>
          <w:szCs w:val="22"/>
          <w:rtl/>
        </w:rPr>
        <w:t>משה חזות נ' רכבת ישראל ואח'</w:t>
      </w:r>
      <w:r w:rsidRPr="008469B5">
        <w:rPr>
          <w:rFonts w:ascii="David" w:hAnsi="David" w:hint="cs"/>
          <w:color w:val="FF0000"/>
          <w:sz w:val="22"/>
          <w:szCs w:val="22"/>
          <w:rtl/>
        </w:rPr>
        <w:t xml:space="preserve"> </w:t>
      </w:r>
      <w:r w:rsidRPr="002D18AF">
        <w:rPr>
          <w:rFonts w:ascii="David" w:hAnsi="David" w:hint="cs"/>
          <w:color w:val="000000"/>
          <w:sz w:val="22"/>
          <w:szCs w:val="22"/>
          <w:rtl/>
        </w:rPr>
        <w:t>(</w:t>
      </w:r>
      <w:r>
        <w:rPr>
          <w:rFonts w:ascii="David" w:hAnsi="David" w:hint="cs"/>
          <w:color w:val="000000"/>
          <w:sz w:val="22"/>
          <w:szCs w:val="22"/>
          <w:rtl/>
        </w:rPr>
        <w:t>4.6.13</w:t>
      </w:r>
      <w:r w:rsidRPr="002D18AF">
        <w:rPr>
          <w:rFonts w:ascii="David" w:hAnsi="David" w:hint="cs"/>
          <w:color w:val="000000"/>
          <w:sz w:val="22"/>
          <w:szCs w:val="22"/>
          <w:rtl/>
        </w:rPr>
        <w:t xml:space="preserve">) </w:t>
      </w:r>
      <w:r w:rsidRPr="002D18AF">
        <w:rPr>
          <w:rFonts w:ascii="David" w:hAnsi="David"/>
          <w:color w:val="000000"/>
          <w:sz w:val="22"/>
          <w:szCs w:val="22"/>
        </w:rPr>
        <w:t xml:space="preserve"> </w:t>
      </w:r>
      <w:r w:rsidRPr="004A3CD9">
        <w:rPr>
          <w:color w:val="FF0000"/>
          <w:sz w:val="22"/>
          <w:szCs w:val="22"/>
        </w:rPr>
        <w:t>●</w:t>
      </w:r>
      <w:r w:rsidRPr="002D18AF">
        <w:rPr>
          <w:rFonts w:ascii="David" w:hAnsi="David" w:hint="cs"/>
          <w:color w:val="000000"/>
          <w:sz w:val="22"/>
          <w:szCs w:val="22"/>
          <w:rtl/>
        </w:rPr>
        <w:t>בפני כבוד</w:t>
      </w:r>
      <w:r>
        <w:rPr>
          <w:rFonts w:ascii="David" w:hAnsi="David" w:hint="cs"/>
          <w:color w:val="000000"/>
          <w:sz w:val="22"/>
          <w:szCs w:val="22"/>
          <w:rtl/>
        </w:rPr>
        <w:t xml:space="preserve"> אב"ד השופטת ורדה וירט-ליבנה, השופטת לאה גליקסמן, השופט אילן סופר, נ.ע מר אלעזר וייץ נ.מ מר יורם בליזובסקי</w:t>
      </w:r>
    </w:p>
    <w:p w:rsidR="00A45577" w:rsidRPr="00BD3500" w:rsidRDefault="00A45577" w:rsidP="00A45577">
      <w:pPr>
        <w:tabs>
          <w:tab w:val="left" w:pos="-102"/>
        </w:tabs>
        <w:bidi/>
        <w:spacing w:line="360" w:lineRule="auto"/>
        <w:ind w:left="-115"/>
        <w:jc w:val="both"/>
        <w:rPr>
          <w:rFonts w:ascii="David" w:hAnsi="David"/>
          <w:b/>
          <w:bCs/>
          <w:color w:val="0000FF"/>
          <w:sz w:val="32"/>
          <w:szCs w:val="26"/>
          <w:u w:val="single"/>
          <w:rtl/>
        </w:rPr>
      </w:pPr>
    </w:p>
    <w:p w:rsidR="000118BE" w:rsidRPr="00BD3500" w:rsidRDefault="000118BE" w:rsidP="00A8553B">
      <w:pPr>
        <w:numPr>
          <w:ilvl w:val="0"/>
          <w:numId w:val="15"/>
        </w:numPr>
        <w:tabs>
          <w:tab w:val="clear" w:pos="250"/>
          <w:tab w:val="left" w:pos="-334"/>
          <w:tab w:val="num" w:pos="647"/>
        </w:tabs>
        <w:bidi/>
        <w:spacing w:line="360" w:lineRule="auto"/>
        <w:ind w:left="647" w:hanging="426"/>
        <w:jc w:val="both"/>
        <w:rPr>
          <w:rFonts w:ascii="Arial" w:hAnsi="Arial"/>
          <w:b/>
          <w:bCs/>
          <w:color w:val="0000FF"/>
          <w:sz w:val="24"/>
          <w:u w:val="single"/>
          <w:rtl/>
        </w:rPr>
      </w:pPr>
      <w:r w:rsidRPr="00BD3500">
        <w:rPr>
          <w:rFonts w:ascii="Arial" w:hAnsi="Arial" w:hint="cs"/>
          <w:b/>
          <w:bCs/>
          <w:color w:val="0000FF"/>
          <w:sz w:val="24"/>
          <w:u w:val="single"/>
          <w:rtl/>
        </w:rPr>
        <w:t>פיטורי עובדים שלא כדין בגלל עמידתם על זכויות עלתה למעביד ביוקר</w:t>
      </w:r>
    </w:p>
    <w:p w:rsidR="000118BE" w:rsidRDefault="000118BE" w:rsidP="00E17AA3">
      <w:pPr>
        <w:tabs>
          <w:tab w:val="left" w:pos="0"/>
          <w:tab w:val="left" w:pos="44"/>
        </w:tabs>
        <w:bidi/>
        <w:ind w:left="44"/>
        <w:jc w:val="both"/>
        <w:rPr>
          <w:rFonts w:eastAsia="Calibri"/>
          <w:b/>
          <w:bCs/>
          <w:color w:val="000000"/>
          <w:sz w:val="24"/>
          <w:rtl/>
        </w:rPr>
      </w:pPr>
    </w:p>
    <w:p w:rsidR="000118BE" w:rsidRPr="002C670E" w:rsidRDefault="000118BE" w:rsidP="00A8553B">
      <w:pPr>
        <w:tabs>
          <w:tab w:val="left" w:pos="-102"/>
        </w:tabs>
        <w:bidi/>
        <w:spacing w:line="360" w:lineRule="auto"/>
        <w:ind w:left="-115"/>
        <w:jc w:val="both"/>
        <w:rPr>
          <w:rFonts w:eastAsia="Calibri"/>
          <w:b/>
          <w:bCs/>
          <w:color w:val="000000"/>
          <w:sz w:val="24"/>
          <w:rtl/>
        </w:rPr>
      </w:pPr>
      <w:r w:rsidRPr="002C670E">
        <w:rPr>
          <w:rFonts w:eastAsia="Calibri" w:hint="cs"/>
          <w:b/>
          <w:bCs/>
          <w:color w:val="000000"/>
          <w:sz w:val="24"/>
          <w:rtl/>
        </w:rPr>
        <w:t xml:space="preserve">שלושה עובדים הגישו תביעה לתשלום פיצויי פיטורים, דמי הודעה מוקדמת ופיצויים על פיטורים שלא כדין נגד החברה המעסיקה, לאחר שלטענתם פוטרו על רקע דרישתם לקבלת זכויות סוציאליות המעוגנות בהסכם הקיבוצי ובצו ההרחבה בענף השמירה. </w:t>
      </w:r>
    </w:p>
    <w:p w:rsidR="000118BE" w:rsidRPr="002C670E" w:rsidRDefault="000118BE" w:rsidP="00A8553B">
      <w:pPr>
        <w:tabs>
          <w:tab w:val="left" w:pos="-102"/>
        </w:tabs>
        <w:bidi/>
        <w:spacing w:line="360" w:lineRule="auto"/>
        <w:ind w:left="-115"/>
        <w:jc w:val="both"/>
        <w:rPr>
          <w:rFonts w:eastAsia="Calibri"/>
          <w:b/>
          <w:bCs/>
          <w:color w:val="000000"/>
          <w:sz w:val="24"/>
          <w:rtl/>
        </w:rPr>
      </w:pPr>
      <w:r w:rsidRPr="002C670E">
        <w:rPr>
          <w:rFonts w:eastAsia="Calibri" w:hint="cs"/>
          <w:b/>
          <w:bCs/>
          <w:color w:val="000000"/>
          <w:sz w:val="24"/>
          <w:rtl/>
        </w:rPr>
        <w:t xml:space="preserve">לטענת החברה, העובדים פוטרו משיקולים ענייניים- כשל מקצועי והפרות משמעת חמורות תוך מתן הודעה מוקדמת כדין. </w:t>
      </w:r>
    </w:p>
    <w:p w:rsidR="000118BE" w:rsidRPr="002C670E" w:rsidRDefault="000118BE" w:rsidP="00A8553B">
      <w:pPr>
        <w:tabs>
          <w:tab w:val="left" w:pos="-102"/>
        </w:tabs>
        <w:bidi/>
        <w:spacing w:line="360" w:lineRule="auto"/>
        <w:ind w:left="-115"/>
        <w:jc w:val="both"/>
        <w:rPr>
          <w:rFonts w:eastAsia="Calibri"/>
          <w:b/>
          <w:bCs/>
          <w:color w:val="000000"/>
          <w:sz w:val="24"/>
          <w:rtl/>
        </w:rPr>
      </w:pPr>
      <w:r w:rsidRPr="002C670E">
        <w:rPr>
          <w:rFonts w:eastAsia="Calibri" w:hint="cs"/>
          <w:b/>
          <w:bCs/>
          <w:color w:val="000000"/>
          <w:sz w:val="24"/>
          <w:rtl/>
        </w:rPr>
        <w:t>העובדה כי שלושת העובדים אינם נהנים מהזכויות המוקנות להם מכוח ההסכם הקיבוצי וצו ההרחבה וכן, סמיכות הזמנים בין העמידה על זכויותיהם לבין הפיטורים מעידים על קיומו של קשר סיבתי בין העמידה על הזכויות לבין הפיטורים. לפיכך, על החברה מוטל לשכנע בקיומו של נימוק ענייני לפיטורים, והיא לא עמדה בכך.</w:t>
      </w:r>
    </w:p>
    <w:p w:rsidR="000118BE" w:rsidRDefault="000118BE" w:rsidP="00A8553B">
      <w:pPr>
        <w:tabs>
          <w:tab w:val="left" w:pos="-102"/>
        </w:tabs>
        <w:bidi/>
        <w:spacing w:line="360" w:lineRule="auto"/>
        <w:ind w:left="-115"/>
        <w:jc w:val="both"/>
        <w:rPr>
          <w:b/>
          <w:bCs/>
          <w:sz w:val="28"/>
          <w:szCs w:val="28"/>
          <w:rtl/>
        </w:rPr>
      </w:pPr>
      <w:r w:rsidRPr="002C670E">
        <w:rPr>
          <w:rFonts w:eastAsia="Calibri" w:hint="cs"/>
          <w:b/>
          <w:bCs/>
          <w:color w:val="000000"/>
          <w:sz w:val="24"/>
          <w:rtl/>
        </w:rPr>
        <w:t>בית הדין קיבל את התביעה ופסק כי העובדים פוטרו על רקע דרישתם לזכויות להם הם זכאים בדין ללא מתן הודעה מוקדמת, לאחר שהחברה לא הצביעה על כשלים והפרות משמעת אשר יש בהם כדי להצדיק את פיטוריהם. לפיכך, הם זכאים לפיצויי פיטורים, דמי הודעה מוקדמת, פיצויים על פיטורין שלא כדין בסכום השווה לשלוש משכורות ופיצויי הלנת פיצויי פיטורים בסכום השווה ל-200% מפיצויי הפיטורים.</w:t>
      </w:r>
      <w:r>
        <w:rPr>
          <w:rFonts w:hint="cs"/>
          <w:b/>
          <w:bCs/>
          <w:sz w:val="28"/>
          <w:szCs w:val="28"/>
          <w:rtl/>
        </w:rPr>
        <w:t xml:space="preserve"> </w:t>
      </w:r>
    </w:p>
    <w:p w:rsidR="000118BE" w:rsidRDefault="000118BE" w:rsidP="00A8553B">
      <w:pPr>
        <w:tabs>
          <w:tab w:val="left" w:pos="-102"/>
        </w:tabs>
        <w:bidi/>
        <w:spacing w:line="360" w:lineRule="auto"/>
        <w:ind w:left="-115"/>
        <w:jc w:val="both"/>
        <w:rPr>
          <w:rFonts w:ascii="David" w:hAnsi="David"/>
          <w:b/>
          <w:bCs/>
          <w:color w:val="FF0000"/>
          <w:sz w:val="22"/>
          <w:szCs w:val="22"/>
          <w:u w:val="single"/>
          <w:rtl/>
        </w:rPr>
      </w:pPr>
      <w:r w:rsidRPr="00B07CDD">
        <w:rPr>
          <w:rFonts w:hint="cs"/>
          <w:sz w:val="22"/>
          <w:szCs w:val="22"/>
          <w:rtl/>
        </w:rPr>
        <w:t xml:space="preserve">עב (ב"ש) 3391/09 סע (ב"ש) 38065-02-10 </w:t>
      </w:r>
      <w:r w:rsidRPr="00B07CDD">
        <w:rPr>
          <w:color w:val="FF0000"/>
          <w:sz w:val="22"/>
          <w:szCs w:val="22"/>
        </w:rPr>
        <w:t>●</w:t>
      </w:r>
      <w:r w:rsidRPr="00B07CDD">
        <w:rPr>
          <w:rFonts w:hint="cs"/>
          <w:b/>
          <w:bCs/>
          <w:sz w:val="22"/>
          <w:szCs w:val="22"/>
          <w:rtl/>
        </w:rPr>
        <w:t xml:space="preserve"> </w:t>
      </w:r>
      <w:r w:rsidRPr="008469B5">
        <w:rPr>
          <w:rFonts w:hint="cs"/>
          <w:b/>
          <w:bCs/>
          <w:color w:val="FF0000"/>
          <w:sz w:val="22"/>
          <w:szCs w:val="22"/>
          <w:rtl/>
        </w:rPr>
        <w:t xml:space="preserve">גרמן ישייב נ' ח.א.ש. מערכות ושירותים בע"מ </w:t>
      </w:r>
      <w:r w:rsidRPr="00B07CDD">
        <w:rPr>
          <w:rFonts w:hint="cs"/>
          <w:sz w:val="22"/>
          <w:szCs w:val="22"/>
          <w:rtl/>
        </w:rPr>
        <w:t xml:space="preserve">(16.1.14) </w:t>
      </w:r>
      <w:r w:rsidRPr="00B07CDD">
        <w:rPr>
          <w:sz w:val="22"/>
          <w:szCs w:val="22"/>
        </w:rPr>
        <w:t xml:space="preserve"> </w:t>
      </w:r>
      <w:r w:rsidRPr="00B07CDD">
        <w:rPr>
          <w:color w:val="FF0000"/>
          <w:sz w:val="22"/>
          <w:szCs w:val="22"/>
        </w:rPr>
        <w:t>●</w:t>
      </w:r>
      <w:r w:rsidRPr="00B07CDD">
        <w:rPr>
          <w:rFonts w:hint="cs"/>
          <w:sz w:val="22"/>
          <w:szCs w:val="22"/>
          <w:rtl/>
        </w:rPr>
        <w:t xml:space="preserve"> בפני כבוד השופט משה טוינה, נ.ע. מר חנוך גלברג, נ.מ. מר חביב עמר</w:t>
      </w:r>
    </w:p>
    <w:p w:rsidR="00C542C9" w:rsidRDefault="00C542C9" w:rsidP="00C542C9">
      <w:pPr>
        <w:tabs>
          <w:tab w:val="left" w:pos="-102"/>
        </w:tabs>
        <w:bidi/>
        <w:spacing w:line="360" w:lineRule="auto"/>
        <w:ind w:left="-115"/>
        <w:jc w:val="both"/>
        <w:rPr>
          <w:rFonts w:ascii="David" w:hAnsi="David"/>
          <w:b/>
          <w:bCs/>
          <w:color w:val="FF0000"/>
          <w:sz w:val="22"/>
          <w:szCs w:val="22"/>
          <w:u w:val="single"/>
          <w:rtl/>
        </w:rPr>
      </w:pPr>
    </w:p>
    <w:p w:rsidR="00E17AA3" w:rsidRDefault="00E17AA3" w:rsidP="00E17AA3">
      <w:pPr>
        <w:tabs>
          <w:tab w:val="left" w:pos="-102"/>
        </w:tabs>
        <w:bidi/>
        <w:spacing w:line="360" w:lineRule="auto"/>
        <w:ind w:left="-115"/>
        <w:jc w:val="both"/>
        <w:rPr>
          <w:rFonts w:ascii="David" w:hAnsi="David"/>
          <w:b/>
          <w:bCs/>
          <w:color w:val="FF0000"/>
          <w:sz w:val="22"/>
          <w:szCs w:val="22"/>
          <w:u w:val="single"/>
          <w:rtl/>
        </w:rPr>
      </w:pPr>
    </w:p>
    <w:p w:rsidR="00E17AA3" w:rsidRDefault="00E17AA3" w:rsidP="00E17AA3">
      <w:pPr>
        <w:tabs>
          <w:tab w:val="left" w:pos="-102"/>
        </w:tabs>
        <w:bidi/>
        <w:spacing w:line="360" w:lineRule="auto"/>
        <w:ind w:left="-115"/>
        <w:jc w:val="both"/>
        <w:rPr>
          <w:rFonts w:ascii="David" w:hAnsi="David"/>
          <w:b/>
          <w:bCs/>
          <w:color w:val="FF0000"/>
          <w:sz w:val="22"/>
          <w:szCs w:val="22"/>
          <w:u w:val="single"/>
          <w:rtl/>
        </w:rPr>
      </w:pPr>
    </w:p>
    <w:p w:rsidR="00E17AA3" w:rsidRDefault="00E17AA3" w:rsidP="00E17AA3">
      <w:pPr>
        <w:tabs>
          <w:tab w:val="left" w:pos="-102"/>
        </w:tabs>
        <w:bidi/>
        <w:spacing w:line="360" w:lineRule="auto"/>
        <w:ind w:left="-115"/>
        <w:jc w:val="both"/>
        <w:rPr>
          <w:rFonts w:ascii="David" w:hAnsi="David"/>
          <w:b/>
          <w:bCs/>
          <w:color w:val="FF0000"/>
          <w:sz w:val="22"/>
          <w:szCs w:val="22"/>
          <w:u w:val="single"/>
          <w:rtl/>
        </w:rPr>
      </w:pPr>
    </w:p>
    <w:p w:rsidR="00C542C9" w:rsidRPr="00B07CDD" w:rsidRDefault="00C542C9" w:rsidP="00C542C9">
      <w:pPr>
        <w:tabs>
          <w:tab w:val="left" w:pos="-102"/>
        </w:tabs>
        <w:bidi/>
        <w:spacing w:line="360" w:lineRule="auto"/>
        <w:ind w:left="-115"/>
        <w:jc w:val="both"/>
        <w:rPr>
          <w:rFonts w:ascii="David" w:hAnsi="David"/>
          <w:b/>
          <w:bCs/>
          <w:color w:val="FF0000"/>
          <w:sz w:val="22"/>
          <w:szCs w:val="22"/>
          <w:u w:val="single"/>
          <w:rtl/>
        </w:rPr>
      </w:pPr>
    </w:p>
    <w:p w:rsidR="000118BE" w:rsidRDefault="000118BE" w:rsidP="00A8553B">
      <w:pPr>
        <w:numPr>
          <w:ilvl w:val="0"/>
          <w:numId w:val="5"/>
        </w:numPr>
        <w:bidi/>
        <w:spacing w:line="360" w:lineRule="auto"/>
        <w:jc w:val="both"/>
        <w:outlineLvl w:val="2"/>
        <w:rPr>
          <w:rFonts w:ascii="David" w:hAnsi="David"/>
          <w:b/>
          <w:bCs/>
          <w:color w:val="FF0000"/>
          <w:sz w:val="32"/>
          <w:szCs w:val="26"/>
          <w:u w:val="single"/>
        </w:rPr>
      </w:pPr>
      <w:bookmarkStart w:id="54" w:name="_Toc383530622"/>
      <w:bookmarkStart w:id="55" w:name="_Toc383587160"/>
      <w:bookmarkStart w:id="56" w:name="_Toc383587365"/>
      <w:bookmarkStart w:id="57" w:name="_Toc383587807"/>
      <w:r>
        <w:rPr>
          <w:rFonts w:ascii="David" w:hAnsi="David" w:hint="cs"/>
          <w:b/>
          <w:bCs/>
          <w:color w:val="FF0000"/>
          <w:sz w:val="32"/>
          <w:szCs w:val="26"/>
          <w:u w:val="single"/>
          <w:rtl/>
        </w:rPr>
        <w:lastRenderedPageBreak/>
        <w:t>הפרת הסכם עבודה</w:t>
      </w:r>
      <w:bookmarkEnd w:id="54"/>
      <w:bookmarkEnd w:id="55"/>
      <w:bookmarkEnd w:id="56"/>
      <w:bookmarkEnd w:id="57"/>
    </w:p>
    <w:p w:rsidR="000118BE" w:rsidRDefault="000118BE" w:rsidP="00A8553B">
      <w:pPr>
        <w:bidi/>
        <w:spacing w:line="360" w:lineRule="auto"/>
        <w:jc w:val="both"/>
        <w:outlineLvl w:val="2"/>
        <w:rPr>
          <w:rFonts w:ascii="David" w:hAnsi="David"/>
          <w:b/>
          <w:bCs/>
          <w:color w:val="FF0000"/>
          <w:sz w:val="32"/>
          <w:szCs w:val="26"/>
          <w:u w:val="single"/>
        </w:rPr>
      </w:pPr>
    </w:p>
    <w:p w:rsidR="000118BE" w:rsidRPr="00BD3500" w:rsidRDefault="000118BE" w:rsidP="00A8553B">
      <w:pPr>
        <w:numPr>
          <w:ilvl w:val="0"/>
          <w:numId w:val="21"/>
        </w:numPr>
        <w:tabs>
          <w:tab w:val="left" w:pos="70"/>
        </w:tabs>
        <w:bidi/>
        <w:spacing w:line="360" w:lineRule="auto"/>
        <w:jc w:val="both"/>
        <w:rPr>
          <w:rFonts w:ascii="Arial" w:hAnsi="Arial"/>
          <w:b/>
          <w:bCs/>
          <w:color w:val="0000FF"/>
          <w:sz w:val="24"/>
          <w:u w:val="single"/>
          <w:rtl/>
        </w:rPr>
      </w:pPr>
      <w:r w:rsidRPr="00BD3500">
        <w:rPr>
          <w:rFonts w:ascii="Arial" w:hAnsi="Arial" w:hint="cs"/>
          <w:b/>
          <w:bCs/>
          <w:color w:val="0000FF"/>
          <w:sz w:val="24"/>
          <w:u w:val="single"/>
          <w:rtl/>
        </w:rPr>
        <w:t xml:space="preserve">פיצוי של 75,000 ₪ לעובדת מדינה בגין התנכלות הממונה ואדישות המעביד </w:t>
      </w:r>
    </w:p>
    <w:p w:rsidR="000118BE" w:rsidRPr="001C389F" w:rsidRDefault="000118BE" w:rsidP="00E17AA3">
      <w:pPr>
        <w:tabs>
          <w:tab w:val="left" w:pos="-316"/>
        </w:tabs>
        <w:bidi/>
        <w:ind w:left="26"/>
        <w:jc w:val="both"/>
        <w:rPr>
          <w:rFonts w:ascii="Arial" w:hAnsi="Arial"/>
          <w:b/>
          <w:bCs/>
          <w:color w:val="008000"/>
          <w:sz w:val="24"/>
          <w:u w:val="single"/>
        </w:rPr>
      </w:pPr>
    </w:p>
    <w:p w:rsidR="000118BE" w:rsidRPr="00E71EB8" w:rsidRDefault="000118BE" w:rsidP="00A8553B">
      <w:pPr>
        <w:tabs>
          <w:tab w:val="left" w:pos="90"/>
          <w:tab w:val="left" w:pos="392"/>
          <w:tab w:val="num" w:pos="708"/>
        </w:tabs>
        <w:bidi/>
        <w:spacing w:line="360" w:lineRule="auto"/>
        <w:ind w:left="44" w:right="-180"/>
        <w:jc w:val="both"/>
        <w:rPr>
          <w:rFonts w:eastAsia="Calibri"/>
          <w:b/>
          <w:bCs/>
          <w:color w:val="000000"/>
          <w:sz w:val="24"/>
          <w:rtl/>
        </w:rPr>
      </w:pPr>
      <w:r w:rsidRPr="00E71EB8">
        <w:rPr>
          <w:rFonts w:eastAsia="Calibri" w:hint="cs"/>
          <w:b/>
          <w:bCs/>
          <w:color w:val="000000"/>
          <w:sz w:val="24"/>
          <w:rtl/>
        </w:rPr>
        <w:t xml:space="preserve">בית הדין האזורי לעבודה קיבל בחלקה </w:t>
      </w:r>
      <w:r w:rsidRPr="00E71EB8">
        <w:rPr>
          <w:rFonts w:eastAsia="Calibri"/>
          <w:b/>
          <w:bCs/>
          <w:color w:val="000000"/>
          <w:sz w:val="24"/>
          <w:rtl/>
        </w:rPr>
        <w:t>תביע</w:t>
      </w:r>
      <w:r w:rsidRPr="00E71EB8">
        <w:rPr>
          <w:rFonts w:eastAsia="Calibri" w:hint="cs"/>
          <w:b/>
          <w:bCs/>
          <w:color w:val="000000"/>
          <w:sz w:val="24"/>
          <w:rtl/>
        </w:rPr>
        <w:t>ת עובדת לשכת מרשם האוכלוסין</w:t>
      </w:r>
      <w:r w:rsidRPr="00E71EB8">
        <w:rPr>
          <w:rFonts w:eastAsia="Calibri"/>
          <w:b/>
          <w:bCs/>
          <w:color w:val="000000"/>
          <w:sz w:val="24"/>
          <w:rtl/>
        </w:rPr>
        <w:t xml:space="preserve"> כנגד </w:t>
      </w:r>
      <w:r w:rsidRPr="00E71EB8">
        <w:rPr>
          <w:rFonts w:eastAsia="Calibri" w:hint="cs"/>
          <w:b/>
          <w:bCs/>
          <w:color w:val="000000"/>
          <w:sz w:val="24"/>
          <w:rtl/>
        </w:rPr>
        <w:t>משרד הפנים,</w:t>
      </w:r>
      <w:r w:rsidRPr="00E71EB8">
        <w:rPr>
          <w:rFonts w:eastAsia="Calibri"/>
          <w:b/>
          <w:bCs/>
          <w:color w:val="000000"/>
          <w:sz w:val="24"/>
          <w:rtl/>
        </w:rPr>
        <w:t xml:space="preserve"> לפיצוי בגין הפרת חוזה העבודה</w:t>
      </w:r>
      <w:r w:rsidRPr="00E71EB8">
        <w:rPr>
          <w:rFonts w:eastAsia="Calibri" w:hint="cs"/>
          <w:b/>
          <w:bCs/>
          <w:color w:val="000000"/>
          <w:sz w:val="24"/>
          <w:rtl/>
        </w:rPr>
        <w:t>, במסגרתו נגרמה לה, לטענתה, עגמת נפש עקב התנכלות הממונה כלפיה משך ארבע שנים.</w:t>
      </w:r>
    </w:p>
    <w:p w:rsidR="000118BE" w:rsidRPr="00E71EB8" w:rsidRDefault="000118BE" w:rsidP="00A8553B">
      <w:pPr>
        <w:tabs>
          <w:tab w:val="left" w:pos="90"/>
          <w:tab w:val="left" w:pos="392"/>
          <w:tab w:val="num" w:pos="708"/>
        </w:tabs>
        <w:bidi/>
        <w:spacing w:line="360" w:lineRule="auto"/>
        <w:ind w:left="44" w:right="-180"/>
        <w:jc w:val="both"/>
        <w:rPr>
          <w:rFonts w:eastAsia="Calibri"/>
          <w:b/>
          <w:bCs/>
          <w:color w:val="000000"/>
          <w:sz w:val="24"/>
          <w:rtl/>
        </w:rPr>
      </w:pPr>
      <w:r w:rsidRPr="00E71EB8">
        <w:rPr>
          <w:rFonts w:eastAsia="Calibri" w:hint="cs"/>
          <w:b/>
          <w:bCs/>
          <w:color w:val="000000"/>
          <w:sz w:val="24"/>
          <w:rtl/>
        </w:rPr>
        <w:t xml:space="preserve">בית הדין קבע, כי על מעסיק לספק לעובד </w:t>
      </w:r>
      <w:r w:rsidRPr="00E71EB8">
        <w:rPr>
          <w:rFonts w:eastAsia="Calibri"/>
          <w:b/>
          <w:bCs/>
          <w:color w:val="000000"/>
          <w:sz w:val="24"/>
          <w:rtl/>
        </w:rPr>
        <w:t>סביבת עבודה סבירה</w:t>
      </w:r>
      <w:r w:rsidRPr="00E71EB8">
        <w:rPr>
          <w:rFonts w:eastAsia="Calibri" w:hint="cs"/>
          <w:b/>
          <w:bCs/>
          <w:color w:val="000000"/>
          <w:sz w:val="24"/>
          <w:rtl/>
        </w:rPr>
        <w:t xml:space="preserve"> ואסור לו לעצום עין נוכח מערכת יחסים קלוקלת בעבודה. נקבע, כי המעסיק, בענייננו, </w:t>
      </w:r>
      <w:r w:rsidRPr="00E71EB8">
        <w:rPr>
          <w:rFonts w:eastAsia="Calibri"/>
          <w:b/>
          <w:bCs/>
          <w:color w:val="000000"/>
          <w:sz w:val="24"/>
          <w:rtl/>
        </w:rPr>
        <w:t>נהג כלפי התובעת באמת מידה קפדנית, החורגת מגבולות הסביר</w:t>
      </w:r>
      <w:r w:rsidRPr="00E71EB8">
        <w:rPr>
          <w:rFonts w:eastAsia="Calibri" w:hint="cs"/>
          <w:b/>
          <w:bCs/>
          <w:color w:val="000000"/>
          <w:sz w:val="24"/>
          <w:rtl/>
        </w:rPr>
        <w:t>,</w:t>
      </w:r>
      <w:r w:rsidRPr="00E71EB8">
        <w:rPr>
          <w:rFonts w:eastAsia="Calibri"/>
          <w:b/>
          <w:bCs/>
          <w:color w:val="000000"/>
          <w:sz w:val="24"/>
          <w:rtl/>
        </w:rPr>
        <w:t xml:space="preserve"> הפר את חובת</w:t>
      </w:r>
      <w:r w:rsidRPr="00E71EB8">
        <w:rPr>
          <w:rFonts w:eastAsia="Calibri" w:hint="cs"/>
          <w:b/>
          <w:bCs/>
          <w:color w:val="000000"/>
          <w:sz w:val="24"/>
          <w:rtl/>
        </w:rPr>
        <w:t>ו</w:t>
      </w:r>
      <w:r w:rsidRPr="00E71EB8">
        <w:rPr>
          <w:rFonts w:eastAsia="Calibri"/>
          <w:b/>
          <w:bCs/>
          <w:color w:val="000000"/>
          <w:sz w:val="24"/>
          <w:rtl/>
        </w:rPr>
        <w:t xml:space="preserve"> הבסיסית לספק לתובעת סביבת עבודה סבירה משך 4 שנים</w:t>
      </w:r>
      <w:r w:rsidRPr="00E71EB8">
        <w:rPr>
          <w:rFonts w:eastAsia="Calibri" w:hint="cs"/>
          <w:b/>
          <w:bCs/>
          <w:color w:val="000000"/>
          <w:sz w:val="24"/>
          <w:rtl/>
        </w:rPr>
        <w:t xml:space="preserve"> ולא הפריד בין העובדת לממונה עליה על אף שידע כי מתנהלת ביניהם מערכת יחסים קלוקלת שהידרדרה, לאורך הזמן, מעבר לגבולות הסביר.</w:t>
      </w:r>
      <w:r w:rsidRPr="00E71EB8">
        <w:rPr>
          <w:rFonts w:eastAsia="Calibri"/>
          <w:b/>
          <w:bCs/>
          <w:color w:val="000000"/>
          <w:sz w:val="24"/>
          <w:rtl/>
        </w:rPr>
        <w:t xml:space="preserve"> </w:t>
      </w:r>
      <w:r w:rsidRPr="00E71EB8">
        <w:rPr>
          <w:rFonts w:eastAsia="Calibri" w:hint="cs"/>
          <w:b/>
          <w:bCs/>
          <w:color w:val="000000"/>
          <w:sz w:val="24"/>
          <w:rtl/>
        </w:rPr>
        <w:t xml:space="preserve">עוד נקבע, כי </w:t>
      </w:r>
      <w:r w:rsidRPr="00E71EB8">
        <w:rPr>
          <w:rFonts w:eastAsia="Calibri"/>
          <w:b/>
          <w:bCs/>
          <w:color w:val="000000"/>
          <w:sz w:val="24"/>
          <w:rtl/>
        </w:rPr>
        <w:t>מצב בו העובדת במשך כארבע שנים צריכה להתמודד עם סביבת עבודה עוינת הוא בלתי סביר</w:t>
      </w:r>
      <w:r w:rsidRPr="00E71EB8">
        <w:rPr>
          <w:rFonts w:eastAsia="Calibri" w:hint="cs"/>
          <w:b/>
          <w:bCs/>
          <w:color w:val="000000"/>
          <w:sz w:val="24"/>
          <w:rtl/>
        </w:rPr>
        <w:t>,</w:t>
      </w:r>
      <w:r w:rsidRPr="00E71EB8">
        <w:rPr>
          <w:rFonts w:eastAsia="Calibri"/>
          <w:b/>
          <w:bCs/>
          <w:color w:val="000000"/>
          <w:sz w:val="24"/>
          <w:rtl/>
        </w:rPr>
        <w:t xml:space="preserve"> גם בהיבט </w:t>
      </w:r>
      <w:r w:rsidRPr="00E71EB8">
        <w:rPr>
          <w:rFonts w:eastAsia="Calibri" w:hint="cs"/>
          <w:b/>
          <w:bCs/>
          <w:color w:val="000000"/>
          <w:sz w:val="24"/>
          <w:rtl/>
        </w:rPr>
        <w:t xml:space="preserve">של בזבוז כספי </w:t>
      </w:r>
      <w:r w:rsidRPr="00E71EB8">
        <w:rPr>
          <w:rFonts w:eastAsia="Calibri"/>
          <w:b/>
          <w:bCs/>
          <w:color w:val="000000"/>
          <w:sz w:val="24"/>
          <w:rtl/>
        </w:rPr>
        <w:t xml:space="preserve">ציבור. למדינה יש מספיק כלים כדי להפסיק, תוך פרק זמן סביר, חוסר תפקוד בשל מערכת יחסים עכורה. </w:t>
      </w:r>
    </w:p>
    <w:p w:rsidR="000118BE" w:rsidRPr="00E71EB8" w:rsidRDefault="000118BE" w:rsidP="00A8553B">
      <w:pPr>
        <w:tabs>
          <w:tab w:val="left" w:pos="90"/>
          <w:tab w:val="left" w:pos="392"/>
          <w:tab w:val="num" w:pos="708"/>
        </w:tabs>
        <w:bidi/>
        <w:spacing w:line="360" w:lineRule="auto"/>
        <w:ind w:left="44" w:right="-180"/>
        <w:jc w:val="both"/>
        <w:rPr>
          <w:rFonts w:eastAsia="Calibri"/>
          <w:b/>
          <w:bCs/>
          <w:color w:val="000000"/>
          <w:sz w:val="24"/>
          <w:rtl/>
        </w:rPr>
      </w:pPr>
      <w:r w:rsidRPr="00E71EB8">
        <w:rPr>
          <w:rFonts w:eastAsia="Calibri" w:hint="cs"/>
          <w:b/>
          <w:bCs/>
          <w:color w:val="000000"/>
          <w:sz w:val="24"/>
          <w:rtl/>
        </w:rPr>
        <w:t xml:space="preserve">בית הדין קבע, כי </w:t>
      </w:r>
      <w:r w:rsidRPr="00E71EB8">
        <w:rPr>
          <w:rFonts w:eastAsia="Calibri"/>
          <w:b/>
          <w:bCs/>
          <w:color w:val="000000"/>
          <w:sz w:val="24"/>
          <w:rtl/>
        </w:rPr>
        <w:t>במצב בו מערכת יחסים</w:t>
      </w:r>
      <w:r w:rsidRPr="00E71EB8">
        <w:rPr>
          <w:rFonts w:eastAsia="Calibri" w:hint="cs"/>
          <w:b/>
          <w:bCs/>
          <w:color w:val="000000"/>
          <w:sz w:val="24"/>
          <w:rtl/>
        </w:rPr>
        <w:t xml:space="preserve"> עכורה בין עובד לממונה או בין עובד לחברו</w:t>
      </w:r>
      <w:r w:rsidRPr="00E71EB8">
        <w:rPr>
          <w:rFonts w:eastAsia="Calibri"/>
          <w:b/>
          <w:bCs/>
          <w:color w:val="000000"/>
          <w:sz w:val="24"/>
          <w:rtl/>
        </w:rPr>
        <w:t xml:space="preserve"> מובילה לפגיעה בתפקוד העובד</w:t>
      </w:r>
      <w:r w:rsidRPr="00E71EB8">
        <w:rPr>
          <w:rFonts w:eastAsia="Calibri" w:hint="cs"/>
          <w:b/>
          <w:bCs/>
          <w:color w:val="000000"/>
          <w:sz w:val="24"/>
          <w:rtl/>
        </w:rPr>
        <w:t xml:space="preserve">; לפגיעה </w:t>
      </w:r>
      <w:r w:rsidRPr="00E71EB8">
        <w:rPr>
          <w:rFonts w:eastAsia="Calibri"/>
          <w:b/>
          <w:bCs/>
          <w:color w:val="000000"/>
          <w:sz w:val="24"/>
          <w:rtl/>
        </w:rPr>
        <w:t>בכבודו</w:t>
      </w:r>
      <w:r w:rsidRPr="00E71EB8">
        <w:rPr>
          <w:rFonts w:eastAsia="Calibri" w:hint="cs"/>
          <w:b/>
          <w:bCs/>
          <w:color w:val="000000"/>
          <w:sz w:val="24"/>
          <w:rtl/>
        </w:rPr>
        <w:t xml:space="preserve">; </w:t>
      </w:r>
      <w:r w:rsidRPr="00E71EB8">
        <w:rPr>
          <w:rFonts w:eastAsia="Calibri"/>
          <w:b/>
          <w:bCs/>
          <w:color w:val="000000"/>
          <w:sz w:val="24"/>
          <w:rtl/>
        </w:rPr>
        <w:t xml:space="preserve"> לפגיעה בשירות לציבור וכיוצ"ב, שומה על המעביד לפעול במגבלות הדין ובגבולות זמן סביר לשינוי המצב, לרבות בדרך של הפרדה</w:t>
      </w:r>
      <w:r w:rsidRPr="00E71EB8">
        <w:rPr>
          <w:rFonts w:eastAsia="Calibri" w:hint="cs"/>
          <w:b/>
          <w:bCs/>
          <w:color w:val="000000"/>
          <w:sz w:val="24"/>
          <w:rtl/>
        </w:rPr>
        <w:t xml:space="preserve"> </w:t>
      </w:r>
      <w:r w:rsidRPr="00E71EB8">
        <w:rPr>
          <w:rFonts w:eastAsia="Calibri"/>
          <w:b/>
          <w:bCs/>
          <w:color w:val="000000"/>
          <w:sz w:val="24"/>
          <w:rtl/>
        </w:rPr>
        <w:t xml:space="preserve">ואם מסיבה כזו או אחרת ההפרדה אינה מתרחשת, שומה על המעביד להפעיל פיקוח </w:t>
      </w:r>
      <w:r w:rsidRPr="00E71EB8">
        <w:rPr>
          <w:rFonts w:eastAsia="Calibri" w:hint="cs"/>
          <w:b/>
          <w:bCs/>
          <w:color w:val="000000"/>
          <w:sz w:val="24"/>
          <w:rtl/>
        </w:rPr>
        <w:t>ה</w:t>
      </w:r>
      <w:r w:rsidRPr="00E71EB8">
        <w:rPr>
          <w:rFonts w:eastAsia="Calibri"/>
          <w:b/>
          <w:bCs/>
          <w:color w:val="000000"/>
          <w:sz w:val="24"/>
          <w:rtl/>
        </w:rPr>
        <w:t>דוק יותר על יחסי העבודה</w:t>
      </w:r>
      <w:r w:rsidRPr="00E71EB8">
        <w:rPr>
          <w:rFonts w:eastAsia="Calibri" w:hint="cs"/>
          <w:b/>
          <w:bCs/>
          <w:color w:val="000000"/>
          <w:sz w:val="24"/>
          <w:rtl/>
        </w:rPr>
        <w:t xml:space="preserve"> כדי למנוע מצב בו כוח המשרה או כוח אחר משמש כלי במאבק שבין הניצים</w:t>
      </w:r>
      <w:r w:rsidRPr="00E71EB8">
        <w:rPr>
          <w:rFonts w:eastAsia="Calibri"/>
          <w:b/>
          <w:bCs/>
          <w:color w:val="000000"/>
          <w:sz w:val="24"/>
          <w:rtl/>
        </w:rPr>
        <w:t>. הותרת הצדדים הניצים לאנחות אינה פתרון.</w:t>
      </w:r>
      <w:r w:rsidRPr="00E71EB8">
        <w:rPr>
          <w:rFonts w:eastAsia="Calibri" w:hint="cs"/>
          <w:b/>
          <w:bCs/>
          <w:color w:val="000000"/>
          <w:sz w:val="24"/>
          <w:rtl/>
        </w:rPr>
        <w:t xml:space="preserve"> </w:t>
      </w:r>
    </w:p>
    <w:p w:rsidR="000118BE" w:rsidRPr="00E71EB8" w:rsidRDefault="000118BE" w:rsidP="00A8553B">
      <w:pPr>
        <w:tabs>
          <w:tab w:val="left" w:pos="90"/>
          <w:tab w:val="left" w:pos="392"/>
          <w:tab w:val="num" w:pos="708"/>
        </w:tabs>
        <w:bidi/>
        <w:spacing w:line="360" w:lineRule="auto"/>
        <w:ind w:left="44" w:right="-180"/>
        <w:jc w:val="both"/>
        <w:rPr>
          <w:rFonts w:eastAsia="Calibri"/>
          <w:b/>
          <w:bCs/>
          <w:color w:val="000000"/>
          <w:sz w:val="24"/>
          <w:rtl/>
        </w:rPr>
      </w:pPr>
      <w:r w:rsidRPr="00E71EB8">
        <w:rPr>
          <w:rFonts w:eastAsia="Calibri" w:hint="cs"/>
          <w:b/>
          <w:bCs/>
          <w:color w:val="000000"/>
          <w:sz w:val="24"/>
          <w:rtl/>
        </w:rPr>
        <w:t>לאור האמור לעיל, בית הדין פסק לתובעת פיצוי</w:t>
      </w:r>
      <w:r w:rsidRPr="00E71EB8">
        <w:rPr>
          <w:rFonts w:eastAsia="Calibri"/>
          <w:b/>
          <w:bCs/>
          <w:color w:val="000000"/>
          <w:sz w:val="24"/>
          <w:rtl/>
        </w:rPr>
        <w:t xml:space="preserve"> בגין עגמת הנפש </w:t>
      </w:r>
      <w:r w:rsidRPr="00E71EB8">
        <w:rPr>
          <w:rFonts w:eastAsia="Calibri" w:hint="cs"/>
          <w:b/>
          <w:bCs/>
          <w:color w:val="000000"/>
          <w:sz w:val="24"/>
          <w:rtl/>
        </w:rPr>
        <w:t>כתוצאה מ</w:t>
      </w:r>
      <w:r w:rsidRPr="00E71EB8">
        <w:rPr>
          <w:rFonts w:eastAsia="Calibri"/>
          <w:b/>
          <w:bCs/>
          <w:color w:val="000000"/>
          <w:sz w:val="24"/>
          <w:rtl/>
        </w:rPr>
        <w:t>הפרת חובות</w:t>
      </w:r>
      <w:r w:rsidRPr="00E71EB8">
        <w:rPr>
          <w:rFonts w:eastAsia="Calibri" w:hint="cs"/>
          <w:b/>
          <w:bCs/>
          <w:color w:val="000000"/>
          <w:sz w:val="24"/>
          <w:rtl/>
        </w:rPr>
        <w:t xml:space="preserve"> המעסיק</w:t>
      </w:r>
      <w:r w:rsidRPr="00E71EB8">
        <w:rPr>
          <w:rFonts w:eastAsia="Calibri"/>
          <w:b/>
          <w:bCs/>
          <w:color w:val="000000"/>
          <w:sz w:val="24"/>
          <w:rtl/>
        </w:rPr>
        <w:t xml:space="preserve"> לפי חוזה העבודה</w:t>
      </w:r>
      <w:r w:rsidRPr="00E71EB8">
        <w:rPr>
          <w:rFonts w:eastAsia="Calibri" w:hint="cs"/>
          <w:b/>
          <w:bCs/>
          <w:color w:val="000000"/>
          <w:sz w:val="24"/>
          <w:rtl/>
        </w:rPr>
        <w:t>,</w:t>
      </w:r>
      <w:r w:rsidRPr="00E71EB8">
        <w:rPr>
          <w:rFonts w:eastAsia="Calibri"/>
          <w:b/>
          <w:bCs/>
          <w:color w:val="000000"/>
          <w:sz w:val="24"/>
          <w:rtl/>
        </w:rPr>
        <w:t xml:space="preserve"> בסך של 75,000 ₪</w:t>
      </w:r>
      <w:r w:rsidRPr="00E71EB8">
        <w:rPr>
          <w:rFonts w:eastAsia="Calibri" w:hint="cs"/>
          <w:b/>
          <w:bCs/>
          <w:color w:val="000000"/>
          <w:sz w:val="24"/>
          <w:rtl/>
        </w:rPr>
        <w:t xml:space="preserve"> והוצאות משפט בסך 14,000 ₪.</w:t>
      </w:r>
    </w:p>
    <w:p w:rsidR="000118BE" w:rsidRDefault="000118BE" w:rsidP="00A8553B">
      <w:pPr>
        <w:tabs>
          <w:tab w:val="left" w:pos="90"/>
          <w:tab w:val="left" w:pos="392"/>
        </w:tabs>
        <w:bidi/>
        <w:spacing w:line="360" w:lineRule="auto"/>
        <w:ind w:left="62"/>
        <w:jc w:val="both"/>
        <w:rPr>
          <w:rFonts w:eastAsia="Calibri"/>
          <w:sz w:val="22"/>
          <w:szCs w:val="22"/>
          <w:highlight w:val="yellow"/>
          <w:rtl/>
        </w:rPr>
      </w:pPr>
      <w:r w:rsidRPr="00E71EB8">
        <w:rPr>
          <w:rFonts w:hint="cs"/>
          <w:sz w:val="22"/>
          <w:szCs w:val="22"/>
          <w:rtl/>
        </w:rPr>
        <w:t xml:space="preserve">תעא (תא) 12486-08 </w:t>
      </w:r>
      <w:r w:rsidRPr="0013768B">
        <w:rPr>
          <w:rFonts w:ascii="Arial" w:hAnsi="Arial" w:cs="Arial"/>
          <w:color w:val="FF0000"/>
          <w:sz w:val="22"/>
          <w:szCs w:val="22"/>
        </w:rPr>
        <w:t>●</w:t>
      </w:r>
      <w:r w:rsidRPr="00E71EB8">
        <w:rPr>
          <w:rFonts w:hint="cs"/>
          <w:b/>
          <w:bCs/>
          <w:sz w:val="22"/>
          <w:szCs w:val="22"/>
          <w:rtl/>
        </w:rPr>
        <w:t xml:space="preserve"> </w:t>
      </w:r>
      <w:r w:rsidRPr="008469B5">
        <w:rPr>
          <w:rFonts w:ascii="David" w:hAnsi="David"/>
          <w:b/>
          <w:bCs/>
          <w:color w:val="FF0000"/>
          <w:sz w:val="22"/>
          <w:szCs w:val="22"/>
          <w:rtl/>
        </w:rPr>
        <w:t>מירה וולברג נ' מדינת ישראל - משרד הפנים</w:t>
      </w:r>
      <w:r w:rsidRPr="008469B5">
        <w:rPr>
          <w:rFonts w:hint="cs"/>
          <w:color w:val="FF0000"/>
          <w:sz w:val="22"/>
          <w:szCs w:val="22"/>
          <w:rtl/>
        </w:rPr>
        <w:t xml:space="preserve"> </w:t>
      </w:r>
      <w:r w:rsidRPr="00E71EB8">
        <w:rPr>
          <w:rFonts w:hint="cs"/>
          <w:sz w:val="22"/>
          <w:szCs w:val="22"/>
          <w:rtl/>
        </w:rPr>
        <w:t xml:space="preserve">(27.11.13) </w:t>
      </w:r>
      <w:r w:rsidRPr="00E71EB8">
        <w:rPr>
          <w:sz w:val="22"/>
          <w:szCs w:val="22"/>
        </w:rPr>
        <w:t xml:space="preserve"> </w:t>
      </w:r>
      <w:r w:rsidRPr="0013768B">
        <w:rPr>
          <w:rFonts w:ascii="Arial" w:hAnsi="Arial" w:cs="Arial"/>
          <w:color w:val="FF0000"/>
          <w:sz w:val="22"/>
          <w:szCs w:val="22"/>
        </w:rPr>
        <w:t>●</w:t>
      </w:r>
      <w:r w:rsidRPr="00E71EB8">
        <w:rPr>
          <w:rFonts w:hint="cs"/>
          <w:sz w:val="22"/>
          <w:szCs w:val="22"/>
          <w:rtl/>
        </w:rPr>
        <w:t>בפני כבוד השופט אילן איטח נ.ע. גב' נילי שביט</w:t>
      </w:r>
    </w:p>
    <w:p w:rsidR="000118BE" w:rsidRDefault="000118BE" w:rsidP="00A8553B">
      <w:pPr>
        <w:tabs>
          <w:tab w:val="left" w:pos="90"/>
          <w:tab w:val="left" w:pos="392"/>
        </w:tabs>
        <w:bidi/>
        <w:spacing w:line="360" w:lineRule="auto"/>
        <w:ind w:left="62"/>
        <w:jc w:val="both"/>
        <w:rPr>
          <w:rFonts w:eastAsia="Calibri"/>
          <w:sz w:val="22"/>
          <w:szCs w:val="22"/>
          <w:highlight w:val="yellow"/>
          <w:rtl/>
        </w:rPr>
      </w:pPr>
    </w:p>
    <w:p w:rsidR="000118BE" w:rsidRPr="00B7591E" w:rsidRDefault="000118BE" w:rsidP="00A8553B">
      <w:pPr>
        <w:numPr>
          <w:ilvl w:val="0"/>
          <w:numId w:val="21"/>
        </w:numPr>
        <w:tabs>
          <w:tab w:val="left" w:pos="70"/>
        </w:tabs>
        <w:bidi/>
        <w:spacing w:line="360" w:lineRule="auto"/>
        <w:jc w:val="both"/>
        <w:rPr>
          <w:rFonts w:ascii="Arial" w:hAnsi="Arial"/>
          <w:b/>
          <w:bCs/>
          <w:color w:val="008000"/>
          <w:sz w:val="24"/>
          <w:u w:val="single"/>
          <w:rtl/>
        </w:rPr>
      </w:pPr>
      <w:r w:rsidRPr="00BD3500">
        <w:rPr>
          <w:rFonts w:ascii="Arial" w:hAnsi="Arial" w:hint="cs"/>
          <w:b/>
          <w:bCs/>
          <w:color w:val="0000FF"/>
          <w:sz w:val="24"/>
          <w:u w:val="single"/>
          <w:rtl/>
        </w:rPr>
        <w:t>מנכ"ל המכון הישראלי ליצוא שפרש בהסכמה ותבע, חויב להחזיר תנאי פרישה עודפים</w:t>
      </w:r>
    </w:p>
    <w:p w:rsidR="000118BE" w:rsidRPr="001C389F" w:rsidRDefault="000118BE" w:rsidP="00E17AA3">
      <w:pPr>
        <w:tabs>
          <w:tab w:val="left" w:pos="-316"/>
        </w:tabs>
        <w:bidi/>
        <w:ind w:left="26"/>
        <w:jc w:val="both"/>
        <w:rPr>
          <w:rFonts w:ascii="Arial" w:hAnsi="Arial"/>
          <w:b/>
          <w:bCs/>
          <w:color w:val="008000"/>
          <w:sz w:val="24"/>
          <w:u w:val="single"/>
        </w:rPr>
      </w:pPr>
    </w:p>
    <w:p w:rsidR="000118BE" w:rsidRPr="00F54FE0" w:rsidRDefault="000118BE" w:rsidP="00A8553B">
      <w:pPr>
        <w:tabs>
          <w:tab w:val="left" w:pos="90"/>
          <w:tab w:val="left" w:pos="392"/>
          <w:tab w:val="num" w:pos="708"/>
        </w:tabs>
        <w:bidi/>
        <w:spacing w:line="360" w:lineRule="auto"/>
        <w:ind w:left="44" w:right="-180"/>
        <w:jc w:val="both"/>
        <w:rPr>
          <w:rFonts w:eastAsia="Calibri"/>
          <w:b/>
          <w:bCs/>
          <w:color w:val="000000"/>
          <w:sz w:val="24"/>
          <w:rtl/>
        </w:rPr>
      </w:pPr>
      <w:bookmarkStart w:id="58" w:name="Links_Start"/>
      <w:r w:rsidRPr="00F54FE0">
        <w:rPr>
          <w:rFonts w:eastAsia="Calibri" w:hint="cs"/>
          <w:b/>
          <w:bCs/>
          <w:color w:val="000000"/>
          <w:sz w:val="24"/>
          <w:rtl/>
        </w:rPr>
        <w:t>בית הדין האזורי לעבודה דחה במלואה תביעה נזיקית בגין מצג שווא רשלני, שהגיש מנכ"ל המכון הישראלי ליצוא כנגד נושא משרה בתאגיד וכנגד התאגיד עצמו, בדבר אחריות שילוחית בגין מעשיו של נושא משרה. מנגד, קיבל בית הדין את התביעה שכנגד במלואה</w:t>
      </w:r>
      <w:r w:rsidRPr="00F54FE0">
        <w:rPr>
          <w:rFonts w:eastAsia="Calibri"/>
          <w:b/>
          <w:bCs/>
          <w:color w:val="000000"/>
          <w:sz w:val="24"/>
          <w:rtl/>
        </w:rPr>
        <w:t>.</w:t>
      </w:r>
    </w:p>
    <w:p w:rsidR="000118BE" w:rsidRPr="00F54FE0" w:rsidRDefault="000118BE" w:rsidP="00A8553B">
      <w:pPr>
        <w:tabs>
          <w:tab w:val="left" w:pos="90"/>
          <w:tab w:val="left" w:pos="392"/>
          <w:tab w:val="num" w:pos="708"/>
        </w:tabs>
        <w:bidi/>
        <w:spacing w:line="360" w:lineRule="auto"/>
        <w:ind w:left="44" w:right="-180"/>
        <w:jc w:val="both"/>
        <w:rPr>
          <w:rFonts w:eastAsia="Calibri"/>
          <w:b/>
          <w:bCs/>
          <w:color w:val="000000"/>
          <w:sz w:val="24"/>
          <w:rtl/>
        </w:rPr>
      </w:pPr>
      <w:r w:rsidRPr="00F54FE0">
        <w:rPr>
          <w:rFonts w:eastAsia="Calibri" w:hint="cs"/>
          <w:b/>
          <w:bCs/>
          <w:color w:val="000000"/>
          <w:sz w:val="24"/>
          <w:rtl/>
        </w:rPr>
        <w:t xml:space="preserve">המנכ"ל הסכים לפרוש מעבודתו בתנאי פרישה שהוצעו לו, ובתנאי מפורש נוסף, לפיו ייחתם עימו הסכם למתן שירותי ייעוץ לשלוש שנים בשכר של 20,000 ₪ לחודש. לאחר פרישתו, התנהל משא ומתן באשר לחתימה על הסכם ייעוץ. בסופו של יום, לא נחתם ההסכם והמנכ"ל הגיש תביעה נזיקית בסכום 1,800,000 ₪, נגד התאגיד ונגד יו"ר הנהלת התאגיד בגין מצג שווא רשלני. התובע טען כי יו"ר ההנהלה התחייב בפניו שייחתם עימו הסכם למתן ייעוץ אך זה הפר התחייבותו. בית הדין פסק כי ההתחייבות העקרונית לא בשלה לתנאים המסוימים, וכי ההסכם לא נחתם כי התובע סירב לתנאים סבירים והגיוניים שהיו כלולים בטיוטות ההסכם. </w:t>
      </w:r>
    </w:p>
    <w:p w:rsidR="000118BE" w:rsidRPr="00F54FE0" w:rsidRDefault="000118BE" w:rsidP="00A8553B">
      <w:pPr>
        <w:tabs>
          <w:tab w:val="left" w:pos="90"/>
          <w:tab w:val="left" w:pos="392"/>
          <w:tab w:val="num" w:pos="708"/>
        </w:tabs>
        <w:bidi/>
        <w:spacing w:line="360" w:lineRule="auto"/>
        <w:ind w:left="44" w:right="-180"/>
        <w:jc w:val="both"/>
        <w:rPr>
          <w:rFonts w:eastAsia="Calibri"/>
          <w:b/>
          <w:bCs/>
          <w:color w:val="000000"/>
          <w:sz w:val="24"/>
          <w:rtl/>
        </w:rPr>
      </w:pPr>
      <w:r w:rsidRPr="00F54FE0">
        <w:rPr>
          <w:rFonts w:eastAsia="Calibri" w:hint="cs"/>
          <w:b/>
          <w:bCs/>
          <w:color w:val="000000"/>
          <w:sz w:val="24"/>
          <w:rtl/>
        </w:rPr>
        <w:lastRenderedPageBreak/>
        <w:t>התביעה שכנגד שהגיש התאגיד מבוססת על הסכם הפרישה עליו חתום התובע, לפיו הוא מתחייב להחזיר את "התשלומים העודפים" שקיבל כפיצוי מוסכם במקרה בו</w:t>
      </w:r>
      <w:r>
        <w:rPr>
          <w:rFonts w:eastAsia="Calibri" w:hint="cs"/>
          <w:b/>
          <w:bCs/>
          <w:color w:val="000000"/>
          <w:sz w:val="24"/>
          <w:rtl/>
        </w:rPr>
        <w:t xml:space="preserve"> יעלה דרישות נוספות כלפי המכון.</w:t>
      </w:r>
      <w:r w:rsidRPr="00F54FE0">
        <w:rPr>
          <w:rFonts w:eastAsia="Calibri" w:hint="cs"/>
          <w:b/>
          <w:bCs/>
          <w:color w:val="000000"/>
          <w:sz w:val="24"/>
          <w:rtl/>
        </w:rPr>
        <w:t xml:space="preserve"> בית הדין קיבל את התביעה שכנגד במלואה ופסק כי על התובע לשלם לתאגיד סך של 407,429 ₪. כמו כן, פסק הוצאות משפט ושכר טרחת עורך דין בסך כולל של 25,000 ₪, בן היתר בנימוק כי סכום תביעת המנכ"ל היה גבוה ביותר (1,800,000 ₪) בעוד התביעה נעדרת כל יסוד. </w:t>
      </w:r>
    </w:p>
    <w:bookmarkEnd w:id="58"/>
    <w:p w:rsidR="000118BE" w:rsidRDefault="000118BE" w:rsidP="00A8553B">
      <w:pPr>
        <w:tabs>
          <w:tab w:val="left" w:pos="90"/>
          <w:tab w:val="left" w:pos="392"/>
          <w:tab w:val="num" w:pos="708"/>
        </w:tabs>
        <w:bidi/>
        <w:spacing w:line="360" w:lineRule="auto"/>
        <w:ind w:left="44" w:right="-180"/>
        <w:jc w:val="both"/>
        <w:rPr>
          <w:rFonts w:eastAsia="Calibri"/>
          <w:sz w:val="22"/>
          <w:szCs w:val="22"/>
          <w:highlight w:val="yellow"/>
          <w:rtl/>
        </w:rPr>
      </w:pPr>
      <w:r>
        <w:rPr>
          <w:rFonts w:ascii="David" w:hAnsi="David" w:hint="cs"/>
          <w:sz w:val="22"/>
          <w:szCs w:val="22"/>
          <w:rtl/>
        </w:rPr>
        <w:t>סע</w:t>
      </w:r>
      <w:r w:rsidRPr="00BD1CC0">
        <w:rPr>
          <w:rFonts w:ascii="David" w:hAnsi="David"/>
          <w:sz w:val="22"/>
          <w:szCs w:val="22"/>
          <w:rtl/>
        </w:rPr>
        <w:t xml:space="preserve"> (ת"א) </w:t>
      </w:r>
      <w:r>
        <w:rPr>
          <w:rFonts w:ascii="David" w:hAnsi="David" w:hint="cs"/>
          <w:sz w:val="22"/>
          <w:szCs w:val="22"/>
          <w:rtl/>
        </w:rPr>
        <w:t>51158</w:t>
      </w:r>
      <w:r w:rsidRPr="00BD1CC0">
        <w:rPr>
          <w:rFonts w:ascii="David" w:hAnsi="David" w:hint="cs"/>
          <w:sz w:val="22"/>
          <w:szCs w:val="22"/>
          <w:rtl/>
        </w:rPr>
        <w:t>-0</w:t>
      </w:r>
      <w:r>
        <w:rPr>
          <w:rFonts w:ascii="David" w:hAnsi="David" w:hint="cs"/>
          <w:sz w:val="22"/>
          <w:szCs w:val="22"/>
          <w:rtl/>
        </w:rPr>
        <w:t>5</w:t>
      </w:r>
      <w:r w:rsidRPr="00BD1CC0">
        <w:rPr>
          <w:rFonts w:ascii="David" w:hAnsi="David" w:hint="cs"/>
          <w:sz w:val="22"/>
          <w:szCs w:val="22"/>
          <w:rtl/>
        </w:rPr>
        <w:t>-1</w:t>
      </w:r>
      <w:r>
        <w:rPr>
          <w:rFonts w:ascii="David" w:hAnsi="David" w:hint="cs"/>
          <w:sz w:val="22"/>
          <w:szCs w:val="22"/>
          <w:rtl/>
        </w:rPr>
        <w:t>0</w:t>
      </w:r>
      <w:r w:rsidRPr="00BD1CC0">
        <w:rPr>
          <w:rFonts w:hint="cs"/>
          <w:sz w:val="22"/>
          <w:szCs w:val="22"/>
          <w:rtl/>
        </w:rPr>
        <w:t xml:space="preserve"> </w:t>
      </w:r>
      <w:r w:rsidRPr="00BD1CC0">
        <w:rPr>
          <w:sz w:val="22"/>
          <w:szCs w:val="22"/>
        </w:rPr>
        <w:t>●</w:t>
      </w:r>
      <w:r w:rsidRPr="00BD1CC0">
        <w:rPr>
          <w:rFonts w:ascii="David" w:hAnsi="David" w:hint="cs"/>
          <w:sz w:val="22"/>
          <w:szCs w:val="22"/>
          <w:rtl/>
        </w:rPr>
        <w:t xml:space="preserve"> </w:t>
      </w:r>
      <w:r w:rsidRPr="008469B5">
        <w:rPr>
          <w:rFonts w:ascii="David" w:hAnsi="David" w:hint="cs"/>
          <w:b/>
          <w:bCs/>
          <w:color w:val="FF0000"/>
          <w:sz w:val="22"/>
          <w:szCs w:val="22"/>
          <w:rtl/>
        </w:rPr>
        <w:t>יחיאל אסיה</w:t>
      </w:r>
      <w:r w:rsidRPr="008469B5">
        <w:rPr>
          <w:rFonts w:ascii="David" w:hAnsi="David"/>
          <w:b/>
          <w:bCs/>
          <w:color w:val="FF0000"/>
          <w:sz w:val="22"/>
          <w:szCs w:val="22"/>
          <w:rtl/>
        </w:rPr>
        <w:t xml:space="preserve"> נ' </w:t>
      </w:r>
      <w:r w:rsidRPr="008469B5">
        <w:rPr>
          <w:rFonts w:ascii="David" w:hAnsi="David" w:hint="cs"/>
          <w:b/>
          <w:bCs/>
          <w:color w:val="FF0000"/>
          <w:sz w:val="22"/>
          <w:szCs w:val="22"/>
          <w:rtl/>
        </w:rPr>
        <w:t xml:space="preserve">דוד ארצי </w:t>
      </w:r>
      <w:r w:rsidRPr="008469B5">
        <w:rPr>
          <w:rFonts w:ascii="David" w:hAnsi="David" w:hint="cs"/>
          <w:color w:val="FF0000"/>
          <w:sz w:val="22"/>
          <w:szCs w:val="22"/>
          <w:rtl/>
        </w:rPr>
        <w:t xml:space="preserve"> </w:t>
      </w:r>
      <w:r w:rsidRPr="00BD1CC0">
        <w:rPr>
          <w:rFonts w:ascii="David" w:hAnsi="David" w:hint="cs"/>
          <w:sz w:val="22"/>
          <w:szCs w:val="22"/>
          <w:rtl/>
        </w:rPr>
        <w:t>(</w:t>
      </w:r>
      <w:r>
        <w:rPr>
          <w:rFonts w:ascii="David" w:hAnsi="David" w:hint="cs"/>
          <w:sz w:val="22"/>
          <w:szCs w:val="22"/>
          <w:rtl/>
        </w:rPr>
        <w:t>28</w:t>
      </w:r>
      <w:r w:rsidRPr="00BD1CC0">
        <w:rPr>
          <w:rFonts w:ascii="David" w:hAnsi="David" w:hint="cs"/>
          <w:sz w:val="22"/>
          <w:szCs w:val="22"/>
          <w:rtl/>
        </w:rPr>
        <w:t>.7.13)</w:t>
      </w:r>
      <w:r w:rsidRPr="00BD1CC0">
        <w:rPr>
          <w:rFonts w:hint="cs"/>
          <w:sz w:val="22"/>
          <w:szCs w:val="22"/>
          <w:rtl/>
        </w:rPr>
        <w:t xml:space="preserve"> </w:t>
      </w:r>
      <w:r w:rsidRPr="00BD1CC0">
        <w:rPr>
          <w:sz w:val="22"/>
          <w:szCs w:val="22"/>
        </w:rPr>
        <w:t xml:space="preserve"> ●</w:t>
      </w:r>
      <w:r w:rsidRPr="00BD1CC0">
        <w:rPr>
          <w:rFonts w:ascii="David" w:hAnsi="David" w:hint="cs"/>
          <w:sz w:val="22"/>
          <w:szCs w:val="22"/>
          <w:rtl/>
        </w:rPr>
        <w:t>בפני כבוד השופט</w:t>
      </w:r>
      <w:r w:rsidRPr="00BD1CC0">
        <w:rPr>
          <w:rFonts w:ascii="David" w:hAnsi="David"/>
          <w:sz w:val="22"/>
          <w:szCs w:val="22"/>
          <w:rtl/>
        </w:rPr>
        <w:t>–</w:t>
      </w:r>
      <w:r>
        <w:rPr>
          <w:rFonts w:ascii="David" w:hAnsi="David" w:hint="cs"/>
          <w:sz w:val="22"/>
          <w:szCs w:val="22"/>
          <w:rtl/>
        </w:rPr>
        <w:t xml:space="preserve"> אב"ד דורי ספיבק</w:t>
      </w:r>
      <w:r w:rsidRPr="00BD1CC0">
        <w:rPr>
          <w:rFonts w:ascii="David" w:hAnsi="David" w:hint="cs"/>
          <w:sz w:val="22"/>
          <w:szCs w:val="22"/>
          <w:rtl/>
        </w:rPr>
        <w:t>, נ</w:t>
      </w:r>
      <w:r>
        <w:rPr>
          <w:rFonts w:ascii="David" w:hAnsi="David" w:hint="cs"/>
          <w:sz w:val="22"/>
          <w:szCs w:val="22"/>
          <w:rtl/>
        </w:rPr>
        <w:t>.מ. מר איתן ליברוט</w:t>
      </w:r>
    </w:p>
    <w:p w:rsidR="000118BE" w:rsidRDefault="000118BE" w:rsidP="00A8553B">
      <w:pPr>
        <w:tabs>
          <w:tab w:val="left" w:pos="90"/>
          <w:tab w:val="left" w:pos="392"/>
          <w:tab w:val="num" w:pos="708"/>
        </w:tabs>
        <w:bidi/>
        <w:spacing w:line="360" w:lineRule="auto"/>
        <w:ind w:left="44" w:right="-180"/>
        <w:jc w:val="both"/>
        <w:rPr>
          <w:rFonts w:eastAsia="Calibri"/>
          <w:sz w:val="22"/>
          <w:szCs w:val="22"/>
          <w:highlight w:val="yellow"/>
          <w:rtl/>
        </w:rPr>
      </w:pPr>
    </w:p>
    <w:p w:rsidR="000118BE" w:rsidRDefault="000118BE" w:rsidP="00A8553B">
      <w:pPr>
        <w:numPr>
          <w:ilvl w:val="0"/>
          <w:numId w:val="5"/>
        </w:numPr>
        <w:bidi/>
        <w:spacing w:line="360" w:lineRule="auto"/>
        <w:jc w:val="both"/>
        <w:outlineLvl w:val="2"/>
        <w:rPr>
          <w:rFonts w:ascii="David" w:hAnsi="David"/>
          <w:b/>
          <w:bCs/>
          <w:color w:val="FF0000"/>
          <w:sz w:val="32"/>
          <w:szCs w:val="26"/>
          <w:u w:val="single"/>
        </w:rPr>
      </w:pPr>
      <w:bookmarkStart w:id="59" w:name="_Toc383587161"/>
      <w:bookmarkStart w:id="60" w:name="_Toc383587366"/>
      <w:bookmarkStart w:id="61" w:name="_Toc383587808"/>
      <w:r>
        <w:rPr>
          <w:rFonts w:ascii="David" w:hAnsi="David" w:hint="cs"/>
          <w:b/>
          <w:bCs/>
          <w:color w:val="FF0000"/>
          <w:sz w:val="32"/>
          <w:szCs w:val="26"/>
          <w:u w:val="single"/>
          <w:rtl/>
        </w:rPr>
        <w:t>הסכם עבודה לתקופה קצובה</w:t>
      </w:r>
      <w:bookmarkEnd w:id="59"/>
      <w:bookmarkEnd w:id="60"/>
      <w:bookmarkEnd w:id="61"/>
    </w:p>
    <w:p w:rsidR="000118BE" w:rsidRDefault="000118BE" w:rsidP="00E17AA3">
      <w:pPr>
        <w:bidi/>
        <w:ind w:left="360"/>
        <w:jc w:val="both"/>
        <w:outlineLvl w:val="2"/>
        <w:rPr>
          <w:rFonts w:ascii="David" w:hAnsi="David"/>
          <w:b/>
          <w:bCs/>
          <w:color w:val="FF0000"/>
          <w:sz w:val="32"/>
          <w:szCs w:val="26"/>
          <w:u w:val="single"/>
          <w:rtl/>
        </w:rPr>
      </w:pPr>
    </w:p>
    <w:p w:rsidR="000118BE" w:rsidRPr="00BD3500" w:rsidRDefault="000118BE" w:rsidP="00A8553B">
      <w:pPr>
        <w:numPr>
          <w:ilvl w:val="0"/>
          <w:numId w:val="34"/>
        </w:numPr>
        <w:tabs>
          <w:tab w:val="left" w:pos="70"/>
        </w:tabs>
        <w:bidi/>
        <w:spacing w:line="360" w:lineRule="auto"/>
        <w:jc w:val="both"/>
        <w:rPr>
          <w:rFonts w:ascii="Arial" w:hAnsi="Arial"/>
          <w:b/>
          <w:bCs/>
          <w:color w:val="0000FF"/>
          <w:sz w:val="24"/>
          <w:u w:val="single"/>
          <w:rtl/>
        </w:rPr>
      </w:pPr>
      <w:r w:rsidRPr="00BD3500">
        <w:rPr>
          <w:rFonts w:ascii="Arial" w:hAnsi="Arial" w:hint="cs"/>
          <w:b/>
          <w:bCs/>
          <w:color w:val="0000FF"/>
          <w:sz w:val="24"/>
          <w:u w:val="single"/>
          <w:rtl/>
        </w:rPr>
        <w:t>"תוקף" הסכם עבודה לשלוש שנים אינו בהכרח הסכם ל"תקופה" קצובה- תלוי בנסיבות</w:t>
      </w:r>
    </w:p>
    <w:p w:rsidR="000118BE" w:rsidRPr="00FD7BDE" w:rsidRDefault="000118BE" w:rsidP="00E17AA3">
      <w:pPr>
        <w:tabs>
          <w:tab w:val="left" w:pos="90"/>
          <w:tab w:val="left" w:pos="392"/>
        </w:tabs>
        <w:bidi/>
        <w:ind w:left="44" w:right="-180"/>
        <w:jc w:val="both"/>
        <w:rPr>
          <w:rFonts w:eastAsia="Calibri"/>
          <w:b/>
          <w:bCs/>
          <w:color w:val="000000"/>
          <w:sz w:val="24"/>
          <w:rtl/>
        </w:rPr>
      </w:pPr>
    </w:p>
    <w:p w:rsidR="000118BE" w:rsidRPr="00643695" w:rsidRDefault="000118BE" w:rsidP="00A8553B">
      <w:pPr>
        <w:tabs>
          <w:tab w:val="left" w:pos="90"/>
          <w:tab w:val="left" w:pos="392"/>
          <w:tab w:val="num" w:pos="708"/>
        </w:tabs>
        <w:bidi/>
        <w:spacing w:line="360" w:lineRule="auto"/>
        <w:ind w:left="44" w:right="-180"/>
        <w:jc w:val="both"/>
        <w:rPr>
          <w:rFonts w:eastAsia="Calibri"/>
          <w:sz w:val="22"/>
          <w:szCs w:val="22"/>
          <w:highlight w:val="yellow"/>
          <w:rtl/>
        </w:rPr>
      </w:pPr>
      <w:r w:rsidRPr="00643695">
        <w:rPr>
          <w:rFonts w:eastAsia="Calibri"/>
          <w:b/>
          <w:bCs/>
          <w:color w:val="000000"/>
          <w:sz w:val="24"/>
          <w:rtl/>
        </w:rPr>
        <w:t>ביה"ד דחה את תביעת התובעת לתשלום פיצוי בגובה יתרת השכר שהייתה אמורה לקבל עד תום התקופה שנקצבה לטענתה בהסכם העבודה בין הצדדים, נוכח קביעתו כי הסכם העבודה היה הסכם לתקופת עבודה בלתי קצובה, ולא כלל התחייבות להעסקה לתקופה קצובה.</w:t>
      </w:r>
    </w:p>
    <w:p w:rsidR="000118BE" w:rsidRPr="00643695" w:rsidRDefault="000118BE" w:rsidP="00A8553B">
      <w:pPr>
        <w:tabs>
          <w:tab w:val="left" w:pos="90"/>
          <w:tab w:val="left" w:pos="392"/>
          <w:tab w:val="num" w:pos="708"/>
        </w:tabs>
        <w:bidi/>
        <w:spacing w:line="360" w:lineRule="auto"/>
        <w:ind w:left="44" w:right="-180"/>
        <w:jc w:val="both"/>
        <w:rPr>
          <w:rFonts w:eastAsia="Calibri"/>
          <w:b/>
          <w:bCs/>
          <w:color w:val="000000"/>
          <w:sz w:val="24"/>
          <w:rtl/>
        </w:rPr>
      </w:pPr>
      <w:r w:rsidRPr="00643695">
        <w:rPr>
          <w:rFonts w:eastAsia="Calibri"/>
          <w:b/>
          <w:bCs/>
          <w:color w:val="000000"/>
          <w:sz w:val="24"/>
          <w:rtl/>
        </w:rPr>
        <w:t>התובעת הועסקה בנתבעת כמנהלת שיווק ופרסום</w:t>
      </w:r>
      <w:r w:rsidRPr="00643695">
        <w:rPr>
          <w:rFonts w:eastAsia="Calibri" w:hint="cs"/>
          <w:b/>
          <w:bCs/>
          <w:color w:val="000000"/>
          <w:sz w:val="24"/>
          <w:rtl/>
        </w:rPr>
        <w:t xml:space="preserve">. </w:t>
      </w:r>
      <w:r w:rsidRPr="00643695">
        <w:rPr>
          <w:rFonts w:eastAsia="Calibri"/>
          <w:b/>
          <w:bCs/>
          <w:color w:val="000000"/>
          <w:sz w:val="24"/>
          <w:rtl/>
        </w:rPr>
        <w:t>בין הצדדים נחתם</w:t>
      </w:r>
      <w:r w:rsidRPr="00643695">
        <w:rPr>
          <w:rFonts w:eastAsia="Calibri" w:hint="cs"/>
          <w:b/>
          <w:bCs/>
          <w:color w:val="000000"/>
          <w:sz w:val="24"/>
          <w:rtl/>
        </w:rPr>
        <w:t xml:space="preserve"> </w:t>
      </w:r>
      <w:r w:rsidRPr="00643695">
        <w:rPr>
          <w:rFonts w:eastAsia="Calibri"/>
          <w:b/>
          <w:bCs/>
          <w:color w:val="000000"/>
          <w:sz w:val="24"/>
          <w:rtl/>
        </w:rPr>
        <w:t>הסכם עבודה</w:t>
      </w:r>
      <w:r w:rsidRPr="00643695">
        <w:rPr>
          <w:rFonts w:eastAsia="Calibri" w:hint="cs"/>
          <w:b/>
          <w:bCs/>
          <w:color w:val="000000"/>
          <w:sz w:val="24"/>
          <w:rtl/>
        </w:rPr>
        <w:t>,</w:t>
      </w:r>
      <w:r w:rsidRPr="00643695">
        <w:rPr>
          <w:rFonts w:eastAsia="Calibri"/>
          <w:b/>
          <w:bCs/>
          <w:color w:val="000000"/>
          <w:sz w:val="24"/>
          <w:rtl/>
        </w:rPr>
        <w:t xml:space="preserve"> </w:t>
      </w:r>
      <w:r w:rsidRPr="00643695">
        <w:rPr>
          <w:rFonts w:eastAsia="Calibri" w:hint="cs"/>
          <w:b/>
          <w:bCs/>
          <w:color w:val="000000"/>
          <w:sz w:val="24"/>
          <w:rtl/>
        </w:rPr>
        <w:t>שבו</w:t>
      </w:r>
      <w:r w:rsidRPr="00643695">
        <w:rPr>
          <w:rFonts w:eastAsia="Calibri"/>
          <w:b/>
          <w:bCs/>
          <w:color w:val="000000"/>
          <w:sz w:val="24"/>
          <w:rtl/>
        </w:rPr>
        <w:t xml:space="preserve"> נרשם</w:t>
      </w:r>
      <w:r w:rsidRPr="00643695">
        <w:rPr>
          <w:rFonts w:eastAsia="Calibri" w:hint="cs"/>
          <w:b/>
          <w:bCs/>
          <w:color w:val="000000"/>
          <w:sz w:val="24"/>
          <w:rtl/>
        </w:rPr>
        <w:t xml:space="preserve"> כי </w:t>
      </w:r>
      <w:r w:rsidRPr="00643695">
        <w:rPr>
          <w:rFonts w:eastAsia="Calibri"/>
          <w:b/>
          <w:bCs/>
          <w:color w:val="000000"/>
          <w:sz w:val="24"/>
          <w:rtl/>
        </w:rPr>
        <w:t>תוקף ההסכם 3 שנים</w:t>
      </w:r>
      <w:r w:rsidRPr="00643695">
        <w:rPr>
          <w:rFonts w:eastAsia="Calibri" w:hint="cs"/>
          <w:b/>
          <w:bCs/>
          <w:color w:val="000000"/>
          <w:sz w:val="24"/>
          <w:rtl/>
        </w:rPr>
        <w:t xml:space="preserve">. </w:t>
      </w:r>
      <w:r w:rsidRPr="00643695">
        <w:rPr>
          <w:rFonts w:eastAsia="Calibri"/>
          <w:b/>
          <w:bCs/>
          <w:color w:val="000000"/>
          <w:sz w:val="24"/>
          <w:rtl/>
        </w:rPr>
        <w:t xml:space="preserve">התובעת הגישה </w:t>
      </w:r>
      <w:r w:rsidRPr="00643695">
        <w:rPr>
          <w:rFonts w:eastAsia="Calibri" w:hint="cs"/>
          <w:b/>
          <w:bCs/>
          <w:color w:val="000000"/>
          <w:sz w:val="24"/>
          <w:rtl/>
        </w:rPr>
        <w:t xml:space="preserve">תביעה </w:t>
      </w:r>
      <w:r w:rsidRPr="00643695">
        <w:rPr>
          <w:rFonts w:eastAsia="Calibri"/>
          <w:b/>
          <w:bCs/>
          <w:color w:val="000000"/>
          <w:sz w:val="24"/>
          <w:rtl/>
        </w:rPr>
        <w:t>לתשלום פיצוי בגובה יתרת השכר שהייתה אמורה לקבל עד תום התקופה</w:t>
      </w:r>
      <w:r w:rsidRPr="00643695">
        <w:rPr>
          <w:rFonts w:eastAsia="Calibri" w:hint="cs"/>
          <w:b/>
          <w:bCs/>
          <w:color w:val="000000"/>
          <w:sz w:val="24"/>
          <w:rtl/>
        </w:rPr>
        <w:t xml:space="preserve"> מאחר שפוטרה טרם המועד אשר צוין בהסכם ההעסקה</w:t>
      </w:r>
      <w:r w:rsidRPr="00643695">
        <w:rPr>
          <w:rFonts w:eastAsia="Calibri"/>
          <w:b/>
          <w:bCs/>
          <w:color w:val="000000"/>
          <w:sz w:val="24"/>
          <w:rtl/>
        </w:rPr>
        <w:t>.</w:t>
      </w:r>
      <w:r w:rsidRPr="00643695">
        <w:rPr>
          <w:rFonts w:eastAsia="Calibri" w:hint="cs"/>
          <w:b/>
          <w:bCs/>
          <w:color w:val="000000"/>
          <w:sz w:val="24"/>
          <w:rtl/>
        </w:rPr>
        <w:t xml:space="preserve"> בית הדין פסק, כי</w:t>
      </w:r>
      <w:r w:rsidRPr="00643695">
        <w:rPr>
          <w:rFonts w:eastAsia="Calibri"/>
          <w:b/>
          <w:bCs/>
          <w:color w:val="000000"/>
          <w:sz w:val="24"/>
          <w:rtl/>
        </w:rPr>
        <w:t xml:space="preserve"> </w:t>
      </w:r>
      <w:r w:rsidRPr="00643695">
        <w:rPr>
          <w:rFonts w:eastAsia="Calibri" w:hint="cs"/>
          <w:b/>
          <w:bCs/>
          <w:color w:val="000000"/>
          <w:sz w:val="24"/>
          <w:rtl/>
        </w:rPr>
        <w:t xml:space="preserve">הסכם לתקופת עבודה קצובה </w:t>
      </w:r>
      <w:r w:rsidRPr="00643695">
        <w:rPr>
          <w:rFonts w:eastAsia="Calibri"/>
          <w:b/>
          <w:bCs/>
          <w:color w:val="000000"/>
          <w:sz w:val="24"/>
          <w:rtl/>
        </w:rPr>
        <w:t>חייב להיות חד משמעי וברור</w:t>
      </w:r>
      <w:r w:rsidRPr="00643695">
        <w:rPr>
          <w:rFonts w:eastAsia="Calibri" w:hint="cs"/>
          <w:b/>
          <w:bCs/>
          <w:color w:val="000000"/>
          <w:sz w:val="24"/>
          <w:rtl/>
        </w:rPr>
        <w:t xml:space="preserve"> וכי </w:t>
      </w:r>
      <w:r w:rsidRPr="00643695">
        <w:rPr>
          <w:rFonts w:eastAsia="Calibri"/>
          <w:b/>
          <w:bCs/>
          <w:color w:val="000000"/>
          <w:sz w:val="24"/>
          <w:rtl/>
        </w:rPr>
        <w:t xml:space="preserve">במקרה דנן הצדדים לא התכוונו </w:t>
      </w:r>
      <w:r w:rsidRPr="00643695">
        <w:rPr>
          <w:rFonts w:eastAsia="Calibri" w:hint="cs"/>
          <w:b/>
          <w:bCs/>
          <w:color w:val="000000"/>
          <w:sz w:val="24"/>
          <w:rtl/>
        </w:rPr>
        <w:t>לכבול את</w:t>
      </w:r>
      <w:r w:rsidRPr="00643695">
        <w:rPr>
          <w:rFonts w:eastAsia="Calibri"/>
          <w:b/>
          <w:bCs/>
          <w:color w:val="000000"/>
          <w:sz w:val="24"/>
          <w:rtl/>
        </w:rPr>
        <w:t xml:space="preserve"> עצמם </w:t>
      </w:r>
      <w:r w:rsidRPr="00643695">
        <w:rPr>
          <w:rFonts w:eastAsia="Calibri" w:hint="cs"/>
          <w:b/>
          <w:bCs/>
          <w:color w:val="000000"/>
          <w:sz w:val="24"/>
          <w:rtl/>
        </w:rPr>
        <w:t>ל</w:t>
      </w:r>
      <w:r w:rsidRPr="00643695">
        <w:rPr>
          <w:rFonts w:eastAsia="Calibri"/>
          <w:b/>
          <w:bCs/>
          <w:color w:val="000000"/>
          <w:sz w:val="24"/>
          <w:rtl/>
        </w:rPr>
        <w:t>התחייבות הדדית קשיחה להעסקה משך שלוש שנים</w:t>
      </w:r>
      <w:r w:rsidRPr="00643695">
        <w:rPr>
          <w:rFonts w:eastAsia="Calibri" w:hint="cs"/>
          <w:b/>
          <w:bCs/>
          <w:color w:val="000000"/>
          <w:sz w:val="24"/>
          <w:rtl/>
        </w:rPr>
        <w:t xml:space="preserve"> תמימות ללא</w:t>
      </w:r>
      <w:r w:rsidRPr="00643695">
        <w:rPr>
          <w:rFonts w:eastAsia="Calibri"/>
          <w:b/>
          <w:bCs/>
          <w:color w:val="000000"/>
          <w:sz w:val="24"/>
          <w:rtl/>
        </w:rPr>
        <w:t xml:space="preserve"> אפשרות להביא את העבודה לכדי סיום, מטעמים תמי לב המצדיקים פיטורים או התפטרות במהלך אותה תקופה. </w:t>
      </w:r>
      <w:r w:rsidRPr="00643695">
        <w:rPr>
          <w:rFonts w:eastAsia="Calibri" w:hint="cs"/>
          <w:b/>
          <w:bCs/>
          <w:color w:val="000000"/>
          <w:sz w:val="24"/>
          <w:rtl/>
        </w:rPr>
        <w:t xml:space="preserve">בית-הדין פסק גם </w:t>
      </w:r>
      <w:r w:rsidRPr="00643695">
        <w:rPr>
          <w:rFonts w:eastAsia="Calibri"/>
          <w:b/>
          <w:bCs/>
          <w:color w:val="000000"/>
          <w:sz w:val="24"/>
          <w:rtl/>
        </w:rPr>
        <w:t xml:space="preserve">כי נסיבות כריתת ההסכם ולשון ההסכם בכללותו תומכות בפרשנותה של הנתבעת כי מדובר בהסכם לתקופה בלתי קצובה. </w:t>
      </w:r>
      <w:r w:rsidRPr="00643695">
        <w:rPr>
          <w:rFonts w:eastAsia="Calibri" w:hint="cs"/>
          <w:b/>
          <w:bCs/>
          <w:color w:val="000000"/>
          <w:sz w:val="24"/>
          <w:rtl/>
        </w:rPr>
        <w:t>גם</w:t>
      </w:r>
      <w:r w:rsidRPr="00643695">
        <w:rPr>
          <w:rFonts w:eastAsia="Calibri"/>
          <w:b/>
          <w:bCs/>
          <w:color w:val="000000"/>
          <w:sz w:val="24"/>
          <w:rtl/>
        </w:rPr>
        <w:t xml:space="preserve"> הרקע לעבודת התובעת – תפקיד קבוע, ללא תקופת ניסיון טרם חתימת ההסכם, אי הכרות הצדדים טרם תחילת העבודה, קבלת שכר חודשי קבוע שאינו מותנה במכירות </w:t>
      </w:r>
      <w:r w:rsidRPr="00643695">
        <w:rPr>
          <w:rFonts w:eastAsia="Calibri" w:hint="cs"/>
          <w:b/>
          <w:bCs/>
          <w:color w:val="000000"/>
          <w:sz w:val="24"/>
          <w:rtl/>
        </w:rPr>
        <w:t xml:space="preserve"> - מעיד </w:t>
      </w:r>
      <w:r w:rsidRPr="00643695">
        <w:rPr>
          <w:rFonts w:eastAsia="Calibri"/>
          <w:b/>
          <w:bCs/>
          <w:color w:val="000000"/>
          <w:sz w:val="24"/>
          <w:rtl/>
        </w:rPr>
        <w:t xml:space="preserve">כי לא היה כל היגיון כלכלי בהתחייבות לתקופת עבודה בת שלוש שנים דווקא, אלא דובר בהעסקה שגרתית לתקופה בלתי קצובה. </w:t>
      </w:r>
      <w:r w:rsidRPr="00643695">
        <w:rPr>
          <w:rFonts w:eastAsia="Calibri" w:hint="cs"/>
          <w:b/>
          <w:bCs/>
          <w:color w:val="000000"/>
          <w:sz w:val="24"/>
          <w:rtl/>
        </w:rPr>
        <w:t>בית הדין איבחן בין המונחים "תוקף ההסכם" ובין "תקופת ההסכם" ופסק, כי בענייננו בהסכם נכתב כי</w:t>
      </w:r>
      <w:r w:rsidRPr="00643695">
        <w:rPr>
          <w:rFonts w:eastAsia="Calibri"/>
          <w:b/>
          <w:bCs/>
          <w:color w:val="000000"/>
          <w:sz w:val="24"/>
          <w:rtl/>
        </w:rPr>
        <w:t xml:space="preserve"> "תוקף ההסכם" (להבדיל מ"תקופת ההסכם") הינו 3 שנים, היינו כי התנאים הכלכליים המוסכמים יהיו בתוקף למשך 3 שנים, אך זאת רק ככל שהתובעת תמשיך לעבוד בנתבעת במהלכן. </w:t>
      </w:r>
    </w:p>
    <w:p w:rsidR="000118BE" w:rsidRPr="00643695" w:rsidRDefault="000118BE" w:rsidP="00A8553B">
      <w:pPr>
        <w:tabs>
          <w:tab w:val="left" w:pos="90"/>
          <w:tab w:val="left" w:pos="392"/>
          <w:tab w:val="num" w:pos="708"/>
        </w:tabs>
        <w:bidi/>
        <w:spacing w:line="360" w:lineRule="auto"/>
        <w:ind w:left="44" w:right="-180"/>
        <w:jc w:val="both"/>
        <w:rPr>
          <w:rFonts w:eastAsia="Calibri"/>
          <w:b/>
          <w:bCs/>
          <w:color w:val="000000"/>
          <w:sz w:val="24"/>
          <w:rtl/>
        </w:rPr>
      </w:pPr>
      <w:r w:rsidRPr="00643695">
        <w:rPr>
          <w:rFonts w:eastAsia="Calibri"/>
          <w:b/>
          <w:bCs/>
          <w:color w:val="000000"/>
          <w:sz w:val="24"/>
          <w:rtl/>
        </w:rPr>
        <w:t xml:space="preserve">לאור כל האמור, בהעדר הוכחה כי הסכם העבודה בין הצדדים כלל התחייבות לתקופת עבודה קצובה, התביעה נדחתה. </w:t>
      </w:r>
      <w:r w:rsidRPr="00643695">
        <w:rPr>
          <w:rFonts w:eastAsia="Calibri" w:hint="cs"/>
          <w:b/>
          <w:bCs/>
          <w:color w:val="000000"/>
          <w:sz w:val="24"/>
          <w:rtl/>
        </w:rPr>
        <w:t xml:space="preserve">נפסק, כי </w:t>
      </w:r>
      <w:r w:rsidRPr="00643695">
        <w:rPr>
          <w:rFonts w:eastAsia="Calibri"/>
          <w:b/>
          <w:bCs/>
          <w:color w:val="000000"/>
          <w:sz w:val="24"/>
          <w:rtl/>
        </w:rPr>
        <w:t>התובעת תשא בהוצאות הנתבעת בגין ההליך, בסך של 7,500₪</w:t>
      </w:r>
      <w:r w:rsidRPr="00643695">
        <w:rPr>
          <w:rFonts w:eastAsia="Calibri" w:hint="cs"/>
          <w:b/>
          <w:bCs/>
          <w:color w:val="000000"/>
          <w:sz w:val="24"/>
          <w:rtl/>
        </w:rPr>
        <w:t>.</w:t>
      </w:r>
    </w:p>
    <w:p w:rsidR="000118BE" w:rsidRDefault="000118BE" w:rsidP="00A8553B">
      <w:pPr>
        <w:tabs>
          <w:tab w:val="left" w:pos="90"/>
          <w:tab w:val="left" w:pos="392"/>
          <w:tab w:val="num" w:pos="708"/>
        </w:tabs>
        <w:bidi/>
        <w:spacing w:line="360" w:lineRule="auto"/>
        <w:ind w:left="44" w:right="-180"/>
        <w:jc w:val="both"/>
        <w:rPr>
          <w:rFonts w:eastAsia="Calibri"/>
          <w:sz w:val="22"/>
          <w:szCs w:val="22"/>
          <w:highlight w:val="yellow"/>
          <w:rtl/>
        </w:rPr>
      </w:pPr>
      <w:r>
        <w:rPr>
          <w:rFonts w:ascii="David" w:hAnsi="David" w:hint="cs"/>
          <w:color w:val="000000"/>
          <w:sz w:val="22"/>
          <w:szCs w:val="22"/>
          <w:rtl/>
        </w:rPr>
        <w:t xml:space="preserve">תע"א 6599-09 </w:t>
      </w:r>
      <w:r w:rsidRPr="004A3CD9">
        <w:rPr>
          <w:color w:val="FF0000"/>
          <w:sz w:val="22"/>
          <w:szCs w:val="22"/>
        </w:rPr>
        <w:t>●</w:t>
      </w:r>
      <w:r w:rsidRPr="004A3CD9">
        <w:rPr>
          <w:rFonts w:hint="cs"/>
          <w:color w:val="2B003A"/>
          <w:sz w:val="22"/>
          <w:szCs w:val="22"/>
          <w:rtl/>
        </w:rPr>
        <w:t xml:space="preserve"> </w:t>
      </w:r>
      <w:r w:rsidRPr="008469B5">
        <w:rPr>
          <w:rFonts w:ascii="David" w:hAnsi="David" w:hint="cs"/>
          <w:b/>
          <w:bCs/>
          <w:color w:val="FF0000"/>
          <w:sz w:val="22"/>
          <w:szCs w:val="22"/>
          <w:rtl/>
        </w:rPr>
        <w:t>אסתר ירדן נ' איוש פיתוח כישורי אנוש בע"מ</w:t>
      </w:r>
      <w:r w:rsidRPr="008469B5">
        <w:rPr>
          <w:rFonts w:ascii="David" w:hAnsi="David" w:hint="cs"/>
          <w:color w:val="FF0000"/>
          <w:sz w:val="22"/>
          <w:szCs w:val="22"/>
          <w:rtl/>
        </w:rPr>
        <w:t xml:space="preserve"> </w:t>
      </w:r>
      <w:r w:rsidRPr="002D18AF">
        <w:rPr>
          <w:rFonts w:ascii="David" w:hAnsi="David" w:hint="cs"/>
          <w:color w:val="000000"/>
          <w:sz w:val="22"/>
          <w:szCs w:val="22"/>
          <w:rtl/>
        </w:rPr>
        <w:t>(</w:t>
      </w:r>
      <w:r>
        <w:rPr>
          <w:rFonts w:ascii="David" w:hAnsi="David" w:hint="cs"/>
          <w:color w:val="000000"/>
          <w:sz w:val="22"/>
          <w:szCs w:val="22"/>
          <w:rtl/>
        </w:rPr>
        <w:t>14.5.13</w:t>
      </w:r>
      <w:r w:rsidRPr="002D18AF">
        <w:rPr>
          <w:rFonts w:ascii="David" w:hAnsi="David" w:hint="cs"/>
          <w:color w:val="000000"/>
          <w:sz w:val="22"/>
          <w:szCs w:val="22"/>
          <w:rtl/>
        </w:rPr>
        <w:t xml:space="preserve">) </w:t>
      </w:r>
      <w:r w:rsidRPr="002D18AF">
        <w:rPr>
          <w:rFonts w:ascii="David" w:hAnsi="David"/>
          <w:color w:val="000000"/>
          <w:sz w:val="22"/>
          <w:szCs w:val="22"/>
        </w:rPr>
        <w:t xml:space="preserve"> </w:t>
      </w:r>
      <w:r w:rsidRPr="004A3CD9">
        <w:rPr>
          <w:color w:val="FF0000"/>
          <w:sz w:val="22"/>
          <w:szCs w:val="22"/>
        </w:rPr>
        <w:t>●</w:t>
      </w:r>
      <w:r w:rsidRPr="002D18AF">
        <w:rPr>
          <w:rFonts w:ascii="David" w:hAnsi="David" w:hint="cs"/>
          <w:color w:val="000000"/>
          <w:sz w:val="22"/>
          <w:szCs w:val="22"/>
          <w:rtl/>
        </w:rPr>
        <w:t>בפני כבוד</w:t>
      </w:r>
      <w:r>
        <w:rPr>
          <w:rFonts w:ascii="David" w:hAnsi="David" w:hint="cs"/>
          <w:color w:val="000000"/>
          <w:sz w:val="22"/>
          <w:szCs w:val="22"/>
          <w:rtl/>
        </w:rPr>
        <w:t xml:space="preserve"> השופטת סיגל דוידוב-מוטולה, נ.מ מר רפי וייס</w:t>
      </w:r>
    </w:p>
    <w:p w:rsidR="000118BE" w:rsidRDefault="000118BE" w:rsidP="00A8553B">
      <w:pPr>
        <w:tabs>
          <w:tab w:val="left" w:pos="90"/>
          <w:tab w:val="left" w:pos="392"/>
          <w:tab w:val="num" w:pos="708"/>
        </w:tabs>
        <w:bidi/>
        <w:spacing w:line="360" w:lineRule="auto"/>
        <w:ind w:left="44" w:right="-180"/>
        <w:jc w:val="both"/>
        <w:rPr>
          <w:rFonts w:eastAsia="Calibri"/>
          <w:sz w:val="22"/>
          <w:szCs w:val="22"/>
          <w:highlight w:val="yellow"/>
          <w:rtl/>
        </w:rPr>
      </w:pPr>
    </w:p>
    <w:p w:rsidR="007B2396" w:rsidRDefault="007B2396" w:rsidP="007B2396">
      <w:pPr>
        <w:tabs>
          <w:tab w:val="left" w:pos="90"/>
          <w:tab w:val="left" w:pos="392"/>
        </w:tabs>
        <w:bidi/>
        <w:spacing w:line="360" w:lineRule="auto"/>
        <w:ind w:left="62"/>
        <w:jc w:val="both"/>
        <w:rPr>
          <w:rFonts w:eastAsia="Calibri"/>
          <w:sz w:val="22"/>
          <w:szCs w:val="22"/>
          <w:highlight w:val="yellow"/>
          <w:rtl/>
        </w:rPr>
      </w:pPr>
    </w:p>
    <w:p w:rsidR="00E17AA3" w:rsidRDefault="00E17AA3" w:rsidP="00E17AA3">
      <w:pPr>
        <w:tabs>
          <w:tab w:val="left" w:pos="90"/>
          <w:tab w:val="left" w:pos="392"/>
        </w:tabs>
        <w:bidi/>
        <w:spacing w:line="360" w:lineRule="auto"/>
        <w:ind w:left="62"/>
        <w:jc w:val="both"/>
        <w:rPr>
          <w:rFonts w:eastAsia="Calibri"/>
          <w:sz w:val="22"/>
          <w:szCs w:val="22"/>
          <w:highlight w:val="yellow"/>
          <w:rtl/>
        </w:rPr>
      </w:pPr>
    </w:p>
    <w:p w:rsidR="00E17AA3" w:rsidRDefault="00E17AA3" w:rsidP="00E17AA3">
      <w:pPr>
        <w:tabs>
          <w:tab w:val="left" w:pos="90"/>
          <w:tab w:val="left" w:pos="392"/>
        </w:tabs>
        <w:bidi/>
        <w:spacing w:line="360" w:lineRule="auto"/>
        <w:ind w:left="62"/>
        <w:jc w:val="both"/>
        <w:rPr>
          <w:rFonts w:eastAsia="Calibri"/>
          <w:sz w:val="22"/>
          <w:szCs w:val="22"/>
          <w:highlight w:val="yellow"/>
          <w:rtl/>
        </w:rPr>
      </w:pPr>
    </w:p>
    <w:p w:rsidR="000118BE" w:rsidRDefault="000118BE" w:rsidP="00A8553B">
      <w:pPr>
        <w:numPr>
          <w:ilvl w:val="0"/>
          <w:numId w:val="5"/>
        </w:numPr>
        <w:bidi/>
        <w:spacing w:line="360" w:lineRule="auto"/>
        <w:jc w:val="both"/>
        <w:outlineLvl w:val="2"/>
        <w:rPr>
          <w:rFonts w:ascii="David" w:hAnsi="David"/>
          <w:b/>
          <w:bCs/>
          <w:color w:val="FF0000"/>
          <w:sz w:val="32"/>
          <w:szCs w:val="26"/>
          <w:u w:val="single"/>
        </w:rPr>
      </w:pPr>
      <w:bookmarkStart w:id="62" w:name="_Toc383587162"/>
      <w:bookmarkStart w:id="63" w:name="_Toc383587367"/>
      <w:bookmarkStart w:id="64" w:name="_Toc383587809"/>
      <w:r>
        <w:rPr>
          <w:rFonts w:ascii="David" w:hAnsi="David" w:hint="cs"/>
          <w:b/>
          <w:bCs/>
          <w:color w:val="FF0000"/>
          <w:sz w:val="32"/>
          <w:szCs w:val="26"/>
          <w:u w:val="single"/>
          <w:rtl/>
        </w:rPr>
        <w:lastRenderedPageBreak/>
        <w:t>פיצוי בגין הקמת עסק מתחרה לעסקו של המעביד</w:t>
      </w:r>
      <w:bookmarkEnd w:id="62"/>
      <w:bookmarkEnd w:id="63"/>
      <w:bookmarkEnd w:id="64"/>
    </w:p>
    <w:p w:rsidR="000118BE" w:rsidRPr="00E17AA3" w:rsidRDefault="000118BE" w:rsidP="00E17AA3">
      <w:pPr>
        <w:bidi/>
        <w:ind w:left="360"/>
        <w:jc w:val="both"/>
        <w:outlineLvl w:val="2"/>
        <w:rPr>
          <w:rFonts w:ascii="David" w:hAnsi="David"/>
          <w:b/>
          <w:bCs/>
          <w:color w:val="FF0000"/>
          <w:sz w:val="32"/>
          <w:szCs w:val="26"/>
          <w:u w:val="single"/>
          <w:rtl/>
        </w:rPr>
      </w:pPr>
    </w:p>
    <w:p w:rsidR="000118BE" w:rsidRPr="00BD3500" w:rsidRDefault="000118BE" w:rsidP="004F692C">
      <w:pPr>
        <w:pStyle w:val="af7"/>
        <w:numPr>
          <w:ilvl w:val="0"/>
          <w:numId w:val="47"/>
        </w:numPr>
        <w:tabs>
          <w:tab w:val="left" w:pos="70"/>
        </w:tabs>
        <w:bidi/>
        <w:spacing w:line="360" w:lineRule="auto"/>
        <w:jc w:val="both"/>
        <w:rPr>
          <w:rFonts w:ascii="Arial" w:hAnsi="Arial"/>
          <w:b/>
          <w:bCs/>
          <w:color w:val="0000FF"/>
          <w:sz w:val="24"/>
          <w:u w:val="single"/>
          <w:rtl/>
        </w:rPr>
      </w:pPr>
      <w:r w:rsidRPr="00BD3500">
        <w:rPr>
          <w:rFonts w:ascii="Arial" w:hAnsi="Arial" w:hint="cs"/>
          <w:b/>
          <w:bCs/>
          <w:color w:val="0000FF"/>
          <w:sz w:val="24"/>
          <w:u w:val="single"/>
          <w:rtl/>
        </w:rPr>
        <w:t>עובדות שהקימו עסק מתחרה ופנו ללקוחות המעביד, תפצנה את מעבידן בכ-40,000 ₪</w:t>
      </w:r>
    </w:p>
    <w:p w:rsidR="000118BE" w:rsidRPr="00FD7BDE" w:rsidRDefault="000118BE" w:rsidP="00E17AA3">
      <w:pPr>
        <w:tabs>
          <w:tab w:val="left" w:pos="90"/>
          <w:tab w:val="left" w:pos="392"/>
        </w:tabs>
        <w:bidi/>
        <w:ind w:left="44" w:right="-180"/>
        <w:jc w:val="both"/>
        <w:rPr>
          <w:rFonts w:eastAsia="Calibri"/>
          <w:b/>
          <w:bCs/>
          <w:color w:val="000000"/>
          <w:sz w:val="24"/>
          <w:rtl/>
        </w:rPr>
      </w:pPr>
    </w:p>
    <w:p w:rsidR="000118BE" w:rsidRPr="00145A98" w:rsidRDefault="000118BE" w:rsidP="00A8553B">
      <w:pPr>
        <w:tabs>
          <w:tab w:val="left" w:pos="90"/>
          <w:tab w:val="left" w:pos="392"/>
        </w:tabs>
        <w:bidi/>
        <w:spacing w:line="360" w:lineRule="auto"/>
        <w:ind w:left="62"/>
        <w:jc w:val="both"/>
        <w:rPr>
          <w:rFonts w:eastAsia="Calibri"/>
          <w:b/>
          <w:bCs/>
          <w:color w:val="000000"/>
          <w:sz w:val="24"/>
        </w:rPr>
      </w:pPr>
      <w:r w:rsidRPr="00145A98">
        <w:rPr>
          <w:rFonts w:eastAsia="Calibri" w:hint="cs"/>
          <w:b/>
          <w:bCs/>
          <w:color w:val="000000"/>
          <w:sz w:val="24"/>
          <w:rtl/>
        </w:rPr>
        <w:t>בית הדין האזורי לעבודה קיבל ברובה תביעה של סוכנות הנסיעות דיזנהויז, שטענה, בין היתר,</w:t>
      </w:r>
      <w:r w:rsidRPr="00145A98">
        <w:rPr>
          <w:rFonts w:eastAsia="Calibri"/>
          <w:b/>
          <w:bCs/>
          <w:color w:val="000000"/>
          <w:sz w:val="24"/>
          <w:rtl/>
        </w:rPr>
        <w:t xml:space="preserve"> כי </w:t>
      </w:r>
      <w:r w:rsidRPr="00145A98">
        <w:rPr>
          <w:rFonts w:eastAsia="Calibri" w:hint="cs"/>
          <w:b/>
          <w:bCs/>
          <w:color w:val="000000"/>
          <w:sz w:val="24"/>
          <w:rtl/>
        </w:rPr>
        <w:t>עובדות שלה</w:t>
      </w:r>
      <w:r w:rsidRPr="00145A98">
        <w:rPr>
          <w:rFonts w:eastAsia="Calibri"/>
          <w:b/>
          <w:bCs/>
          <w:color w:val="000000"/>
          <w:sz w:val="24"/>
          <w:rtl/>
        </w:rPr>
        <w:t xml:space="preserve"> נהגו באופן בלתי הגון</w:t>
      </w:r>
      <w:r w:rsidRPr="00145A98">
        <w:rPr>
          <w:rFonts w:eastAsia="Calibri" w:hint="cs"/>
          <w:b/>
          <w:bCs/>
          <w:color w:val="000000"/>
          <w:sz w:val="24"/>
          <w:rtl/>
        </w:rPr>
        <w:t xml:space="preserve">, </w:t>
      </w:r>
      <w:r w:rsidRPr="00145A98">
        <w:rPr>
          <w:rFonts w:eastAsia="Calibri"/>
          <w:b/>
          <w:bCs/>
          <w:color w:val="000000"/>
          <w:sz w:val="24"/>
          <w:rtl/>
        </w:rPr>
        <w:t xml:space="preserve">בפעולתן הסיטו </w:t>
      </w:r>
      <w:r w:rsidRPr="00145A98">
        <w:rPr>
          <w:rFonts w:eastAsia="Calibri" w:hint="cs"/>
          <w:b/>
          <w:bCs/>
          <w:color w:val="000000"/>
          <w:sz w:val="24"/>
          <w:rtl/>
        </w:rPr>
        <w:t xml:space="preserve">מהתובעת </w:t>
      </w:r>
      <w:r w:rsidRPr="00145A98">
        <w:rPr>
          <w:rFonts w:eastAsia="Calibri"/>
          <w:b/>
          <w:bCs/>
          <w:color w:val="000000"/>
          <w:sz w:val="24"/>
          <w:rtl/>
        </w:rPr>
        <w:t>את כל תנועת התיירות מאינדונזיה ומזרח אסיה ו</w:t>
      </w:r>
      <w:r w:rsidRPr="00145A98">
        <w:rPr>
          <w:rFonts w:eastAsia="Calibri" w:hint="cs"/>
          <w:b/>
          <w:bCs/>
          <w:color w:val="000000"/>
          <w:sz w:val="24"/>
          <w:rtl/>
        </w:rPr>
        <w:t xml:space="preserve">בכך </w:t>
      </w:r>
      <w:r w:rsidRPr="00145A98">
        <w:rPr>
          <w:rFonts w:eastAsia="Calibri"/>
          <w:b/>
          <w:bCs/>
          <w:color w:val="000000"/>
          <w:sz w:val="24"/>
          <w:rtl/>
        </w:rPr>
        <w:t>גרמו ל</w:t>
      </w:r>
      <w:r w:rsidRPr="00145A98">
        <w:rPr>
          <w:rFonts w:eastAsia="Calibri" w:hint="cs"/>
          <w:b/>
          <w:bCs/>
          <w:color w:val="000000"/>
          <w:sz w:val="24"/>
          <w:rtl/>
        </w:rPr>
        <w:t>ה</w:t>
      </w:r>
      <w:r w:rsidRPr="00145A98">
        <w:rPr>
          <w:rFonts w:eastAsia="Calibri"/>
          <w:b/>
          <w:bCs/>
          <w:color w:val="000000"/>
          <w:sz w:val="24"/>
          <w:rtl/>
        </w:rPr>
        <w:t xml:space="preserve"> הפסדים ניכרים ביותר. </w:t>
      </w:r>
      <w:r w:rsidRPr="00145A98">
        <w:rPr>
          <w:rFonts w:eastAsia="Calibri" w:hint="cs"/>
          <w:b/>
          <w:bCs/>
          <w:color w:val="000000"/>
          <w:sz w:val="24"/>
          <w:rtl/>
        </w:rPr>
        <w:t xml:space="preserve">בית הדין פסק, כי </w:t>
      </w:r>
      <w:bookmarkStart w:id="65" w:name="Links_End"/>
      <w:bookmarkEnd w:id="65"/>
      <w:r w:rsidRPr="00145A98">
        <w:rPr>
          <w:rFonts w:eastAsia="Calibri"/>
          <w:b/>
          <w:bCs/>
          <w:color w:val="000000"/>
          <w:sz w:val="24"/>
          <w:rtl/>
        </w:rPr>
        <w:t>במאזן האינטרסים אין לשמוט לגמרי את הקרקע תחת עובד, גם אם לא תם לב, שהקים עסק עצמאי מתחרה לעסקו של מעבידו, אולם אין בכך לפטור את העובד מתשלום פיצוי בגין הנזק שגרם. במקרה שבפנינו מדובר בעובדות</w:t>
      </w:r>
      <w:r w:rsidRPr="00145A98">
        <w:rPr>
          <w:rFonts w:eastAsia="Calibri" w:hint="cs"/>
          <w:b/>
          <w:bCs/>
          <w:color w:val="000000"/>
          <w:sz w:val="24"/>
          <w:rtl/>
        </w:rPr>
        <w:t xml:space="preserve"> ש</w:t>
      </w:r>
      <w:r w:rsidRPr="00145A98">
        <w:rPr>
          <w:rFonts w:eastAsia="Calibri"/>
          <w:b/>
          <w:bCs/>
          <w:color w:val="000000"/>
          <w:sz w:val="24"/>
          <w:rtl/>
        </w:rPr>
        <w:t>פיתחו מיומנות</w:t>
      </w:r>
      <w:r w:rsidRPr="00145A98">
        <w:rPr>
          <w:rFonts w:eastAsia="Calibri" w:hint="cs"/>
          <w:b/>
          <w:bCs/>
          <w:color w:val="000000"/>
          <w:sz w:val="24"/>
          <w:rtl/>
        </w:rPr>
        <w:t xml:space="preserve"> ייחודית</w:t>
      </w:r>
      <w:r w:rsidRPr="00145A98">
        <w:rPr>
          <w:rFonts w:eastAsia="Calibri"/>
          <w:b/>
          <w:bCs/>
          <w:color w:val="000000"/>
          <w:sz w:val="24"/>
          <w:rtl/>
        </w:rPr>
        <w:t xml:space="preserve"> בתחום התיירות</w:t>
      </w:r>
      <w:r w:rsidRPr="00145A98">
        <w:rPr>
          <w:rFonts w:eastAsia="Calibri" w:hint="cs"/>
          <w:b/>
          <w:bCs/>
          <w:color w:val="000000"/>
          <w:sz w:val="24"/>
          <w:rtl/>
        </w:rPr>
        <w:t xml:space="preserve">. </w:t>
      </w:r>
      <w:r w:rsidRPr="00145A98">
        <w:rPr>
          <w:rFonts w:eastAsia="Calibri"/>
          <w:b/>
          <w:bCs/>
          <w:color w:val="000000"/>
          <w:sz w:val="24"/>
          <w:rtl/>
        </w:rPr>
        <w:t xml:space="preserve">ככל שמדובר בידע כללי ואף במיומנות מקצועית שנרכשו במהלך העבודה, מחייב אינטרס הציבור כי באלה יוכל העובד להשתמש גם אצל מעביד אחר או כעצמאי. </w:t>
      </w:r>
      <w:r w:rsidRPr="00145A98">
        <w:rPr>
          <w:rFonts w:eastAsia="Calibri" w:hint="cs"/>
          <w:b/>
          <w:bCs/>
          <w:color w:val="000000"/>
          <w:sz w:val="24"/>
          <w:rtl/>
        </w:rPr>
        <w:t xml:space="preserve">אולם, </w:t>
      </w:r>
      <w:r w:rsidRPr="00145A98">
        <w:rPr>
          <w:rFonts w:eastAsia="Calibri"/>
          <w:b/>
          <w:bCs/>
          <w:color w:val="000000"/>
          <w:sz w:val="24"/>
          <w:rtl/>
        </w:rPr>
        <w:t>מעבר לחובה שלא לחשוף סוד מסחרי, על עובד מוטלת חובה</w:t>
      </w:r>
      <w:r w:rsidRPr="00145A98">
        <w:rPr>
          <w:rFonts w:eastAsia="Calibri" w:hint="cs"/>
          <w:b/>
          <w:bCs/>
          <w:color w:val="000000"/>
          <w:sz w:val="24"/>
          <w:rtl/>
        </w:rPr>
        <w:t>,</w:t>
      </w:r>
      <w:r w:rsidRPr="00145A98">
        <w:rPr>
          <w:rFonts w:eastAsia="Calibri"/>
          <w:b/>
          <w:bCs/>
          <w:color w:val="000000"/>
          <w:sz w:val="24"/>
          <w:rtl/>
        </w:rPr>
        <w:t xml:space="preserve"> הנגזרת מיחסי עובד </w:t>
      </w:r>
      <w:r w:rsidRPr="00145A98">
        <w:rPr>
          <w:rFonts w:eastAsia="Calibri" w:hint="cs"/>
          <w:b/>
          <w:bCs/>
          <w:color w:val="000000"/>
          <w:sz w:val="24"/>
          <w:rtl/>
        </w:rPr>
        <w:t xml:space="preserve">מעביד </w:t>
      </w:r>
      <w:r w:rsidRPr="00145A98">
        <w:rPr>
          <w:rFonts w:eastAsia="Calibri"/>
          <w:b/>
          <w:bCs/>
          <w:color w:val="000000"/>
          <w:sz w:val="24"/>
          <w:rtl/>
        </w:rPr>
        <w:t>ויחסי האמון ביניהם</w:t>
      </w:r>
      <w:r w:rsidRPr="00145A98">
        <w:rPr>
          <w:rFonts w:eastAsia="Calibri" w:hint="cs"/>
          <w:b/>
          <w:bCs/>
          <w:color w:val="000000"/>
          <w:sz w:val="24"/>
          <w:rtl/>
        </w:rPr>
        <w:t>,</w:t>
      </w:r>
      <w:r w:rsidRPr="00145A98">
        <w:rPr>
          <w:rFonts w:eastAsia="Calibri"/>
          <w:b/>
          <w:bCs/>
          <w:color w:val="000000"/>
          <w:sz w:val="24"/>
          <w:rtl/>
        </w:rPr>
        <w:t xml:space="preserve"> לקיים חוזה בתום לב ושלא לנצל</w:t>
      </w:r>
      <w:r w:rsidRPr="00145A98">
        <w:rPr>
          <w:rFonts w:eastAsia="Calibri" w:hint="cs"/>
          <w:b/>
          <w:bCs/>
          <w:color w:val="000000"/>
          <w:sz w:val="24"/>
          <w:rtl/>
        </w:rPr>
        <w:t xml:space="preserve"> קשרי מסחר עם לקוחות וספקים או</w:t>
      </w:r>
      <w:r w:rsidRPr="00145A98">
        <w:rPr>
          <w:rFonts w:eastAsia="Calibri"/>
          <w:b/>
          <w:bCs/>
          <w:color w:val="000000"/>
          <w:sz w:val="24"/>
          <w:rtl/>
        </w:rPr>
        <w:t xml:space="preserve"> סודות עסקיים</w:t>
      </w:r>
      <w:r w:rsidRPr="00145A98">
        <w:rPr>
          <w:rFonts w:eastAsia="Calibri" w:hint="cs"/>
          <w:b/>
          <w:bCs/>
          <w:color w:val="000000"/>
          <w:sz w:val="24"/>
          <w:rtl/>
        </w:rPr>
        <w:t xml:space="preserve"> </w:t>
      </w:r>
      <w:r w:rsidRPr="00145A98">
        <w:rPr>
          <w:rFonts w:eastAsia="Calibri"/>
          <w:b/>
          <w:bCs/>
          <w:color w:val="000000"/>
          <w:sz w:val="24"/>
          <w:rtl/>
        </w:rPr>
        <w:t>של מעביד לצרכיו או לצרכי זולתו</w:t>
      </w:r>
      <w:r w:rsidRPr="00145A98">
        <w:rPr>
          <w:rFonts w:eastAsia="Calibri" w:hint="cs"/>
          <w:b/>
          <w:bCs/>
          <w:color w:val="000000"/>
          <w:sz w:val="24"/>
          <w:rtl/>
        </w:rPr>
        <w:t xml:space="preserve">. בענייננו, העובדות </w:t>
      </w:r>
      <w:r w:rsidRPr="00145A98">
        <w:rPr>
          <w:rFonts w:eastAsia="Calibri"/>
          <w:b/>
          <w:bCs/>
          <w:color w:val="000000"/>
          <w:sz w:val="24"/>
          <w:rtl/>
        </w:rPr>
        <w:t>לא עמד</w:t>
      </w:r>
      <w:r w:rsidRPr="00145A98">
        <w:rPr>
          <w:rFonts w:eastAsia="Calibri" w:hint="cs"/>
          <w:b/>
          <w:bCs/>
          <w:color w:val="000000"/>
          <w:sz w:val="24"/>
          <w:rtl/>
        </w:rPr>
        <w:t>ו</w:t>
      </w:r>
      <w:r w:rsidRPr="00145A98">
        <w:rPr>
          <w:rFonts w:eastAsia="Calibri"/>
          <w:b/>
          <w:bCs/>
          <w:color w:val="000000"/>
          <w:sz w:val="24"/>
          <w:rtl/>
        </w:rPr>
        <w:t xml:space="preserve"> בחובת תום הלב המוטלת עליה</w:t>
      </w:r>
      <w:r w:rsidRPr="00145A98">
        <w:rPr>
          <w:rFonts w:eastAsia="Calibri" w:hint="cs"/>
          <w:b/>
          <w:bCs/>
          <w:color w:val="000000"/>
          <w:sz w:val="24"/>
          <w:rtl/>
        </w:rPr>
        <w:t>ן</w:t>
      </w:r>
      <w:r w:rsidRPr="00145A98">
        <w:rPr>
          <w:rFonts w:eastAsia="Calibri"/>
          <w:b/>
          <w:bCs/>
          <w:color w:val="000000"/>
          <w:sz w:val="24"/>
          <w:rtl/>
        </w:rPr>
        <w:t xml:space="preserve"> </w:t>
      </w:r>
      <w:r w:rsidRPr="00145A98">
        <w:rPr>
          <w:rFonts w:eastAsia="Calibri" w:hint="cs"/>
          <w:b/>
          <w:bCs/>
          <w:color w:val="000000"/>
          <w:sz w:val="24"/>
          <w:rtl/>
        </w:rPr>
        <w:t>ו</w:t>
      </w:r>
      <w:r w:rsidRPr="00145A98">
        <w:rPr>
          <w:rFonts w:eastAsia="Calibri"/>
          <w:b/>
          <w:bCs/>
          <w:color w:val="000000"/>
          <w:sz w:val="24"/>
          <w:rtl/>
        </w:rPr>
        <w:t>נמצא</w:t>
      </w:r>
      <w:r w:rsidRPr="00145A98">
        <w:rPr>
          <w:rFonts w:eastAsia="Calibri" w:hint="cs"/>
          <w:b/>
          <w:bCs/>
          <w:color w:val="000000"/>
          <w:sz w:val="24"/>
          <w:rtl/>
        </w:rPr>
        <w:t xml:space="preserve"> </w:t>
      </w:r>
      <w:r w:rsidRPr="00145A98">
        <w:rPr>
          <w:rFonts w:eastAsia="Calibri"/>
          <w:b/>
          <w:bCs/>
          <w:color w:val="000000"/>
          <w:sz w:val="24"/>
          <w:rtl/>
        </w:rPr>
        <w:t>כי התנהלותן חמורה</w:t>
      </w:r>
      <w:r w:rsidRPr="00145A98">
        <w:rPr>
          <w:rFonts w:eastAsia="Calibri" w:hint="cs"/>
          <w:b/>
          <w:bCs/>
          <w:color w:val="000000"/>
          <w:sz w:val="24"/>
          <w:rtl/>
        </w:rPr>
        <w:t>, בלתי מוסרית</w:t>
      </w:r>
      <w:r w:rsidRPr="00145A98">
        <w:rPr>
          <w:rFonts w:eastAsia="Calibri"/>
          <w:b/>
          <w:bCs/>
          <w:color w:val="000000"/>
          <w:sz w:val="24"/>
          <w:rtl/>
        </w:rPr>
        <w:t xml:space="preserve"> ובלתי הוגנת</w:t>
      </w:r>
      <w:r w:rsidRPr="00145A98">
        <w:rPr>
          <w:rFonts w:eastAsia="Calibri" w:hint="cs"/>
          <w:b/>
          <w:bCs/>
          <w:color w:val="000000"/>
          <w:sz w:val="24"/>
          <w:rtl/>
        </w:rPr>
        <w:t xml:space="preserve">. מאידך, בית הדין פסק, כי </w:t>
      </w:r>
      <w:r w:rsidRPr="00145A98">
        <w:rPr>
          <w:rFonts w:eastAsia="Calibri"/>
          <w:b/>
          <w:bCs/>
          <w:color w:val="000000"/>
          <w:sz w:val="24"/>
          <w:rtl/>
        </w:rPr>
        <w:t>על התובעת</w:t>
      </w:r>
      <w:r w:rsidRPr="00145A98">
        <w:rPr>
          <w:rFonts w:eastAsia="Calibri" w:hint="cs"/>
          <w:b/>
          <w:bCs/>
          <w:color w:val="000000"/>
          <w:sz w:val="24"/>
          <w:rtl/>
        </w:rPr>
        <w:t xml:space="preserve"> -</w:t>
      </w:r>
      <w:r w:rsidRPr="00145A98">
        <w:rPr>
          <w:rFonts w:eastAsia="Calibri"/>
          <w:b/>
          <w:bCs/>
          <w:color w:val="000000"/>
          <w:sz w:val="24"/>
          <w:rtl/>
        </w:rPr>
        <w:t xml:space="preserve"> שעה שהיא מבקשת סעד של תשלום נזק בגין צמצום בתיירות נכנסת מאינדונזיה</w:t>
      </w:r>
      <w:r w:rsidRPr="00145A98">
        <w:rPr>
          <w:rFonts w:eastAsia="Calibri" w:hint="cs"/>
          <w:b/>
          <w:bCs/>
          <w:color w:val="000000"/>
          <w:sz w:val="24"/>
          <w:rtl/>
        </w:rPr>
        <w:t xml:space="preserve"> -</w:t>
      </w:r>
      <w:r w:rsidRPr="00145A98">
        <w:rPr>
          <w:rFonts w:eastAsia="Calibri"/>
          <w:b/>
          <w:bCs/>
          <w:color w:val="000000"/>
          <w:sz w:val="24"/>
          <w:rtl/>
        </w:rPr>
        <w:t xml:space="preserve"> </w:t>
      </w:r>
      <w:r w:rsidRPr="00145A98">
        <w:rPr>
          <w:rFonts w:eastAsia="Calibri" w:hint="cs"/>
          <w:b/>
          <w:bCs/>
          <w:color w:val="000000"/>
          <w:sz w:val="24"/>
          <w:rtl/>
        </w:rPr>
        <w:t xml:space="preserve">לכל הפחות </w:t>
      </w:r>
      <w:r w:rsidRPr="00145A98">
        <w:rPr>
          <w:rFonts w:eastAsia="Calibri"/>
          <w:b/>
          <w:bCs/>
          <w:color w:val="000000"/>
          <w:sz w:val="24"/>
          <w:rtl/>
        </w:rPr>
        <w:t>להצביע על המאמצים שהיא עשתה על מנת להגיע לאותם סוכנים ולנסות לשכנעם להביא קבוצות לארץ.</w:t>
      </w:r>
      <w:r w:rsidRPr="00145A98">
        <w:rPr>
          <w:rFonts w:eastAsia="Calibri" w:hint="cs"/>
          <w:b/>
          <w:bCs/>
          <w:color w:val="000000"/>
          <w:sz w:val="24"/>
          <w:rtl/>
        </w:rPr>
        <w:t xml:space="preserve"> בית הדין פסק כי התובעת לא צמצמה נזק, טענה בהליך טענות מיותרות והערימה מידע לא רלבנטי ומאידך הנתבעות פעלו באופן החורג מכל אמת מידה מוסרית, בעת שלקחו, בין השאר, ספרי כתובות וכרטיסי ביקור, נערכו במסגרת תפקידן ועבודתן לפעילות החברה החדשה, שידלו לקוחות ועובדים עד כדי עשיית עושר ולא במשפט וגניבת עין. אין מדובר בהקמה תמימה של חברה מתחרה, אלא בידיעה מראש על ניצול לקוחות של התובעת. אם לא די בכך, עדויותיהן של הנתבעות לקו בסתירות מהותיות ובאמירות אשר דבק בהן טעם פגם של ממש מעבר לחוסר תום הלב המשווע והן נמנעו מהצגת מסמכים אשר היו נגישים. בית הדין פסק, כי הנתבעות תשלמנה לחברת דיזנהויז פיצוי בסך כולל של 413,000₪ ושכר טרחת עו"ד בסך כולל של 38,000₪.  </w:t>
      </w:r>
    </w:p>
    <w:p w:rsidR="000118BE" w:rsidRPr="00E71EB8" w:rsidRDefault="000118BE" w:rsidP="00A8553B">
      <w:pPr>
        <w:tabs>
          <w:tab w:val="left" w:pos="90"/>
          <w:tab w:val="left" w:pos="392"/>
        </w:tabs>
        <w:bidi/>
        <w:spacing w:line="360" w:lineRule="auto"/>
        <w:ind w:left="62"/>
        <w:jc w:val="both"/>
        <w:rPr>
          <w:rFonts w:eastAsia="Calibri"/>
          <w:sz w:val="22"/>
          <w:szCs w:val="22"/>
          <w:highlight w:val="yellow"/>
          <w:rtl/>
        </w:rPr>
      </w:pPr>
      <w:r w:rsidRPr="00BD1CC0">
        <w:rPr>
          <w:rFonts w:ascii="David" w:hAnsi="David" w:hint="cs"/>
          <w:sz w:val="22"/>
          <w:szCs w:val="22"/>
          <w:rtl/>
        </w:rPr>
        <w:t>תע"א (י-ם)</w:t>
      </w:r>
      <w:r w:rsidRPr="00BD1CC0">
        <w:rPr>
          <w:rFonts w:ascii="David" w:hAnsi="David"/>
          <w:sz w:val="22"/>
          <w:szCs w:val="22"/>
          <w:rtl/>
        </w:rPr>
        <w:t xml:space="preserve"> </w:t>
      </w:r>
      <w:r w:rsidRPr="00BD1CC0">
        <w:rPr>
          <w:rFonts w:ascii="David" w:hAnsi="David" w:hint="cs"/>
          <w:sz w:val="22"/>
          <w:szCs w:val="22"/>
          <w:rtl/>
        </w:rPr>
        <w:t>2977-09</w:t>
      </w:r>
      <w:r w:rsidRPr="00BD1CC0">
        <w:rPr>
          <w:rFonts w:hint="cs"/>
          <w:sz w:val="22"/>
          <w:szCs w:val="22"/>
          <w:rtl/>
        </w:rPr>
        <w:t xml:space="preserve"> </w:t>
      </w:r>
      <w:r w:rsidRPr="00145A98">
        <w:rPr>
          <w:color w:val="FF0000"/>
          <w:sz w:val="22"/>
          <w:szCs w:val="22"/>
        </w:rPr>
        <w:t>●</w:t>
      </w:r>
      <w:r w:rsidRPr="00BD1CC0">
        <w:rPr>
          <w:rFonts w:hint="cs"/>
          <w:sz w:val="22"/>
          <w:szCs w:val="22"/>
          <w:rtl/>
        </w:rPr>
        <w:t xml:space="preserve"> </w:t>
      </w:r>
      <w:r w:rsidRPr="008469B5">
        <w:rPr>
          <w:rFonts w:ascii="David" w:hAnsi="David" w:hint="cs"/>
          <w:b/>
          <w:bCs/>
          <w:color w:val="FF0000"/>
          <w:sz w:val="22"/>
          <w:szCs w:val="22"/>
          <w:rtl/>
        </w:rPr>
        <w:t>דיזנהויז יוניתורס נ' תוחמה עלי ואח'</w:t>
      </w:r>
      <w:r w:rsidRPr="008469B5">
        <w:rPr>
          <w:rFonts w:ascii="David" w:hAnsi="David" w:hint="cs"/>
          <w:color w:val="FF0000"/>
          <w:sz w:val="22"/>
          <w:szCs w:val="22"/>
          <w:rtl/>
        </w:rPr>
        <w:t xml:space="preserve"> </w:t>
      </w:r>
      <w:r w:rsidRPr="00BD1CC0">
        <w:rPr>
          <w:rFonts w:ascii="David" w:hAnsi="David" w:hint="cs"/>
          <w:sz w:val="22"/>
          <w:szCs w:val="22"/>
          <w:rtl/>
        </w:rPr>
        <w:t xml:space="preserve">(8.7.13) </w:t>
      </w:r>
      <w:r w:rsidRPr="00BD1CC0">
        <w:rPr>
          <w:sz w:val="22"/>
          <w:szCs w:val="22"/>
        </w:rPr>
        <w:t xml:space="preserve"> </w:t>
      </w:r>
      <w:r w:rsidRPr="00145A98">
        <w:rPr>
          <w:color w:val="FF0000"/>
          <w:sz w:val="22"/>
          <w:szCs w:val="22"/>
        </w:rPr>
        <w:t>●</w:t>
      </w:r>
      <w:r w:rsidRPr="00BD1CC0">
        <w:rPr>
          <w:rFonts w:ascii="David" w:hAnsi="David" w:hint="cs"/>
          <w:sz w:val="22"/>
          <w:szCs w:val="22"/>
          <w:rtl/>
        </w:rPr>
        <w:t>בפני כבוד השופטת שרה שדיאור, נ.ע. גב' גילה פרימק, נ.מ. מר יהושע ענר</w:t>
      </w:r>
    </w:p>
    <w:p w:rsidR="000118BE" w:rsidRDefault="000118BE" w:rsidP="00A8553B">
      <w:pPr>
        <w:bidi/>
        <w:spacing w:line="360" w:lineRule="auto"/>
        <w:ind w:left="44" w:right="-180"/>
        <w:jc w:val="both"/>
        <w:outlineLvl w:val="2"/>
        <w:rPr>
          <w:rFonts w:ascii="David" w:hAnsi="David"/>
          <w:b/>
          <w:bCs/>
          <w:color w:val="FF0000"/>
          <w:sz w:val="32"/>
          <w:szCs w:val="26"/>
          <w:u w:val="single"/>
          <w:rtl/>
        </w:rPr>
      </w:pPr>
    </w:p>
    <w:p w:rsidR="008F590E" w:rsidRDefault="008F590E" w:rsidP="008F590E">
      <w:pPr>
        <w:bidi/>
        <w:spacing w:line="360" w:lineRule="auto"/>
        <w:ind w:left="44" w:right="-180"/>
        <w:jc w:val="both"/>
        <w:outlineLvl w:val="2"/>
        <w:rPr>
          <w:rFonts w:ascii="David" w:hAnsi="David"/>
          <w:b/>
          <w:bCs/>
          <w:color w:val="FF0000"/>
          <w:sz w:val="32"/>
          <w:szCs w:val="26"/>
          <w:u w:val="single"/>
          <w:rtl/>
        </w:rPr>
      </w:pPr>
    </w:p>
    <w:p w:rsidR="008F590E" w:rsidRDefault="008F590E" w:rsidP="008F590E">
      <w:pPr>
        <w:bidi/>
        <w:spacing w:line="360" w:lineRule="auto"/>
        <w:ind w:left="44" w:right="-180"/>
        <w:jc w:val="both"/>
        <w:outlineLvl w:val="2"/>
        <w:rPr>
          <w:rFonts w:ascii="David" w:hAnsi="David"/>
          <w:b/>
          <w:bCs/>
          <w:color w:val="FF0000"/>
          <w:sz w:val="32"/>
          <w:szCs w:val="26"/>
          <w:u w:val="single"/>
          <w:rtl/>
        </w:rPr>
      </w:pPr>
    </w:p>
    <w:p w:rsidR="008F590E" w:rsidRDefault="008F590E" w:rsidP="008F590E">
      <w:pPr>
        <w:bidi/>
        <w:spacing w:line="360" w:lineRule="auto"/>
        <w:ind w:left="44" w:right="-180"/>
        <w:jc w:val="both"/>
        <w:outlineLvl w:val="2"/>
        <w:rPr>
          <w:rFonts w:ascii="David" w:hAnsi="David"/>
          <w:b/>
          <w:bCs/>
          <w:color w:val="FF0000"/>
          <w:sz w:val="32"/>
          <w:szCs w:val="26"/>
          <w:u w:val="single"/>
          <w:rtl/>
        </w:rPr>
      </w:pPr>
    </w:p>
    <w:p w:rsidR="008F590E" w:rsidRDefault="008F590E" w:rsidP="008F590E">
      <w:pPr>
        <w:bidi/>
        <w:spacing w:line="360" w:lineRule="auto"/>
        <w:ind w:left="44" w:right="-180"/>
        <w:jc w:val="both"/>
        <w:outlineLvl w:val="2"/>
        <w:rPr>
          <w:rFonts w:ascii="David" w:hAnsi="David"/>
          <w:b/>
          <w:bCs/>
          <w:color w:val="FF0000"/>
          <w:sz w:val="32"/>
          <w:szCs w:val="26"/>
          <w:u w:val="single"/>
          <w:rtl/>
        </w:rPr>
      </w:pPr>
    </w:p>
    <w:p w:rsidR="008F590E" w:rsidRDefault="008F590E" w:rsidP="008F590E">
      <w:pPr>
        <w:bidi/>
        <w:spacing w:line="360" w:lineRule="auto"/>
        <w:ind w:left="44" w:right="-180"/>
        <w:jc w:val="both"/>
        <w:outlineLvl w:val="2"/>
        <w:rPr>
          <w:rFonts w:ascii="David" w:hAnsi="David"/>
          <w:b/>
          <w:bCs/>
          <w:color w:val="FF0000"/>
          <w:sz w:val="32"/>
          <w:szCs w:val="26"/>
          <w:u w:val="single"/>
          <w:rtl/>
        </w:rPr>
      </w:pPr>
    </w:p>
    <w:p w:rsidR="008F590E" w:rsidRDefault="008F590E" w:rsidP="008F590E">
      <w:pPr>
        <w:bidi/>
        <w:spacing w:line="360" w:lineRule="auto"/>
        <w:ind w:left="44" w:right="-180"/>
        <w:jc w:val="both"/>
        <w:outlineLvl w:val="2"/>
        <w:rPr>
          <w:rFonts w:ascii="David" w:hAnsi="David"/>
          <w:b/>
          <w:bCs/>
          <w:color w:val="FF0000"/>
          <w:sz w:val="32"/>
          <w:szCs w:val="26"/>
          <w:u w:val="single"/>
          <w:rtl/>
        </w:rPr>
      </w:pPr>
    </w:p>
    <w:p w:rsidR="008F590E" w:rsidRDefault="008F590E" w:rsidP="008F590E">
      <w:pPr>
        <w:bidi/>
        <w:spacing w:line="360" w:lineRule="auto"/>
        <w:ind w:left="44" w:right="-180"/>
        <w:jc w:val="both"/>
        <w:outlineLvl w:val="2"/>
        <w:rPr>
          <w:rFonts w:ascii="David" w:hAnsi="David"/>
          <w:b/>
          <w:bCs/>
          <w:color w:val="FF0000"/>
          <w:sz w:val="32"/>
          <w:szCs w:val="26"/>
          <w:u w:val="single"/>
          <w:rtl/>
        </w:rPr>
      </w:pPr>
    </w:p>
    <w:p w:rsidR="008F590E" w:rsidRDefault="008F590E" w:rsidP="008F590E">
      <w:pPr>
        <w:bidi/>
        <w:spacing w:line="360" w:lineRule="auto"/>
        <w:ind w:left="44" w:right="-180"/>
        <w:jc w:val="both"/>
        <w:outlineLvl w:val="2"/>
        <w:rPr>
          <w:rFonts w:ascii="David" w:hAnsi="David"/>
          <w:b/>
          <w:bCs/>
          <w:color w:val="FF0000"/>
          <w:sz w:val="32"/>
          <w:szCs w:val="26"/>
          <w:u w:val="single"/>
          <w:rtl/>
        </w:rPr>
      </w:pPr>
    </w:p>
    <w:p w:rsidR="000118BE" w:rsidRDefault="000118BE" w:rsidP="004F692C">
      <w:pPr>
        <w:numPr>
          <w:ilvl w:val="0"/>
          <w:numId w:val="47"/>
        </w:numPr>
        <w:bidi/>
        <w:spacing w:line="360" w:lineRule="auto"/>
        <w:jc w:val="both"/>
        <w:outlineLvl w:val="2"/>
        <w:rPr>
          <w:rFonts w:ascii="David" w:hAnsi="David"/>
          <w:b/>
          <w:bCs/>
          <w:color w:val="FF0000"/>
          <w:sz w:val="32"/>
          <w:szCs w:val="26"/>
          <w:u w:val="single"/>
        </w:rPr>
      </w:pPr>
      <w:bookmarkStart w:id="66" w:name="_Toc383530623"/>
      <w:bookmarkStart w:id="67" w:name="_Toc383587163"/>
      <w:bookmarkStart w:id="68" w:name="_Toc383587368"/>
      <w:bookmarkStart w:id="69" w:name="_Toc383587810"/>
      <w:r>
        <w:rPr>
          <w:rFonts w:ascii="David" w:hAnsi="David" w:hint="cs"/>
          <w:b/>
          <w:bCs/>
          <w:color w:val="FF0000"/>
          <w:sz w:val="32"/>
          <w:szCs w:val="26"/>
          <w:u w:val="single"/>
          <w:rtl/>
        </w:rPr>
        <w:lastRenderedPageBreak/>
        <w:t>פיצוי מיוחד</w:t>
      </w:r>
      <w:bookmarkEnd w:id="66"/>
      <w:bookmarkEnd w:id="67"/>
      <w:bookmarkEnd w:id="68"/>
      <w:bookmarkEnd w:id="69"/>
    </w:p>
    <w:p w:rsidR="000118BE" w:rsidRDefault="000118BE" w:rsidP="00A8553B">
      <w:pPr>
        <w:bidi/>
        <w:spacing w:line="360" w:lineRule="auto"/>
        <w:ind w:left="360"/>
        <w:jc w:val="both"/>
        <w:outlineLvl w:val="2"/>
        <w:rPr>
          <w:rFonts w:ascii="David" w:hAnsi="David"/>
          <w:b/>
          <w:bCs/>
          <w:color w:val="FF0000"/>
          <w:sz w:val="32"/>
          <w:szCs w:val="26"/>
          <w:u w:val="single"/>
          <w:rtl/>
        </w:rPr>
      </w:pPr>
    </w:p>
    <w:p w:rsidR="000118BE" w:rsidRPr="00BD3500" w:rsidRDefault="000118BE" w:rsidP="004F692C">
      <w:pPr>
        <w:pStyle w:val="af7"/>
        <w:numPr>
          <w:ilvl w:val="0"/>
          <w:numId w:val="48"/>
        </w:numPr>
        <w:tabs>
          <w:tab w:val="left" w:pos="70"/>
        </w:tabs>
        <w:bidi/>
        <w:spacing w:line="360" w:lineRule="auto"/>
        <w:jc w:val="both"/>
        <w:rPr>
          <w:rFonts w:ascii="Arial" w:hAnsi="Arial"/>
          <w:b/>
          <w:bCs/>
          <w:color w:val="0000FF"/>
          <w:sz w:val="24"/>
          <w:u w:val="single"/>
          <w:rtl/>
        </w:rPr>
      </w:pPr>
      <w:r w:rsidRPr="00BD3500">
        <w:rPr>
          <w:rFonts w:ascii="Arial" w:hAnsi="Arial" w:hint="cs"/>
          <w:b/>
          <w:bCs/>
          <w:color w:val="0000FF"/>
          <w:sz w:val="24"/>
          <w:u w:val="single"/>
          <w:rtl/>
        </w:rPr>
        <w:t>פיצוי לעובד שפוטר לאחר שנחשד בגניבה שלא הוכחה, עקב הוצאת דיבתו למעסיק אחר</w:t>
      </w:r>
    </w:p>
    <w:p w:rsidR="000118BE" w:rsidRPr="00FD7BDE" w:rsidRDefault="000118BE" w:rsidP="00A8553B">
      <w:pPr>
        <w:tabs>
          <w:tab w:val="left" w:pos="90"/>
          <w:tab w:val="left" w:pos="392"/>
        </w:tabs>
        <w:bidi/>
        <w:spacing w:line="360" w:lineRule="auto"/>
        <w:ind w:left="44" w:right="-180"/>
        <w:jc w:val="both"/>
        <w:rPr>
          <w:rFonts w:eastAsia="Calibri"/>
          <w:b/>
          <w:bCs/>
          <w:color w:val="000000"/>
          <w:sz w:val="24"/>
          <w:rtl/>
        </w:rPr>
      </w:pPr>
    </w:p>
    <w:p w:rsidR="000118BE" w:rsidRPr="006B7299" w:rsidRDefault="000118BE" w:rsidP="00A8553B">
      <w:pPr>
        <w:tabs>
          <w:tab w:val="left" w:pos="90"/>
          <w:tab w:val="left" w:pos="392"/>
          <w:tab w:val="num" w:pos="708"/>
        </w:tabs>
        <w:bidi/>
        <w:spacing w:line="360" w:lineRule="auto"/>
        <w:ind w:left="44" w:right="-180"/>
        <w:jc w:val="both"/>
        <w:rPr>
          <w:rFonts w:eastAsia="Calibri"/>
          <w:b/>
          <w:bCs/>
          <w:color w:val="000000"/>
          <w:sz w:val="24"/>
          <w:rtl/>
        </w:rPr>
      </w:pPr>
      <w:r w:rsidRPr="006B7299">
        <w:rPr>
          <w:rFonts w:eastAsia="Calibri" w:hint="cs"/>
          <w:b/>
          <w:bCs/>
          <w:color w:val="000000"/>
          <w:sz w:val="24"/>
          <w:rtl/>
        </w:rPr>
        <w:t>עובד שפוטר מעבודתו לאחר שנחשד בגניבה, תבע פיצויי פיטורים, דמי הודעה מוקדמת, פיצוי בגין פיטורים שלא כדין, ובנוסף, פיצוי בסך 100,000 ₪ בגין הוצאת דיבתו על ידי המעסיקה, לאחר שזו מסרה פרטים למעסיקים פוטנציאלים אודות החשדות שהועלו נגדו.</w:t>
      </w:r>
    </w:p>
    <w:p w:rsidR="000118BE" w:rsidRPr="006B7299" w:rsidRDefault="000118BE" w:rsidP="00A8553B">
      <w:pPr>
        <w:tabs>
          <w:tab w:val="left" w:pos="90"/>
          <w:tab w:val="left" w:pos="392"/>
          <w:tab w:val="num" w:pos="708"/>
        </w:tabs>
        <w:bidi/>
        <w:spacing w:line="360" w:lineRule="auto"/>
        <w:ind w:left="44" w:right="-180"/>
        <w:jc w:val="both"/>
        <w:rPr>
          <w:rFonts w:eastAsia="Calibri"/>
          <w:b/>
          <w:bCs/>
          <w:color w:val="000000"/>
          <w:sz w:val="24"/>
          <w:rtl/>
        </w:rPr>
      </w:pPr>
      <w:r w:rsidRPr="006B7299">
        <w:rPr>
          <w:rFonts w:eastAsia="Calibri" w:hint="cs"/>
          <w:b/>
          <w:bCs/>
          <w:color w:val="000000"/>
          <w:sz w:val="24"/>
          <w:rtl/>
        </w:rPr>
        <w:t>לטענת המעסיקה, העובד פוטר, לאחר קיום הליך שימוע, בשל הידרדרות בהתנהלותו הכללית והמקצועית וכן, בשל החשדות שהועלו נגדו. כמו כן, לטענתה, העובד הודה בפניה בביצוע המעשים המיוחסים לו.</w:t>
      </w:r>
    </w:p>
    <w:p w:rsidR="000118BE" w:rsidRPr="006B7299" w:rsidRDefault="000118BE" w:rsidP="00A8553B">
      <w:pPr>
        <w:tabs>
          <w:tab w:val="left" w:pos="90"/>
          <w:tab w:val="left" w:pos="392"/>
          <w:tab w:val="num" w:pos="708"/>
        </w:tabs>
        <w:bidi/>
        <w:spacing w:line="360" w:lineRule="auto"/>
        <w:ind w:left="44" w:right="-180"/>
        <w:jc w:val="both"/>
        <w:rPr>
          <w:rFonts w:eastAsia="Calibri"/>
          <w:b/>
          <w:bCs/>
          <w:color w:val="000000"/>
          <w:sz w:val="24"/>
          <w:rtl/>
        </w:rPr>
      </w:pPr>
      <w:r w:rsidRPr="006B7299">
        <w:rPr>
          <w:rFonts w:eastAsia="Calibri" w:hint="cs"/>
          <w:b/>
          <w:bCs/>
          <w:color w:val="000000"/>
          <w:sz w:val="24"/>
          <w:rtl/>
        </w:rPr>
        <w:t>בית הדין האזורי קיבל את התביעה בחלקה ופסק כי מאחר והמעסיקה האמינה באמת ובתמים כי העובד חשוד בגניבה, נוכח הודאתו, לא נמצא כל פגם בהליך הפיטורים של העובד. חרף זאת, מאחר ולא הוכחו מעשי גניבה, העובד זכאי מלבד פיצויי פיטורים, דמי הודעה מוקדמת והוצאות משפט גם לפיצוי מיוחד של 10,000 ₪, לאחר שהמעסיקה הוציאה את דיבתו ומסרה מידע למעביד פוטנציאלי בדבר התנהלות כספית לא תקינה של התובע ופגעה בפרנסתו.</w:t>
      </w:r>
    </w:p>
    <w:p w:rsidR="000118BE" w:rsidRDefault="000118BE" w:rsidP="00A8553B">
      <w:pPr>
        <w:bidi/>
        <w:spacing w:line="360" w:lineRule="auto"/>
        <w:ind w:left="44" w:right="-180"/>
        <w:jc w:val="both"/>
        <w:outlineLvl w:val="2"/>
        <w:rPr>
          <w:rFonts w:ascii="Arial" w:hAnsi="Arial"/>
          <w:b/>
          <w:bCs/>
          <w:color w:val="000080"/>
          <w:sz w:val="22"/>
          <w:szCs w:val="22"/>
          <w:u w:val="single"/>
          <w:rtl/>
        </w:rPr>
      </w:pPr>
      <w:bookmarkStart w:id="70" w:name="_Toc383530624"/>
      <w:bookmarkStart w:id="71" w:name="_Toc383587164"/>
      <w:bookmarkStart w:id="72" w:name="_Toc383587369"/>
      <w:bookmarkStart w:id="73" w:name="_Toc383587811"/>
      <w:r w:rsidRPr="006B7299">
        <w:rPr>
          <w:rFonts w:hint="cs"/>
          <w:sz w:val="22"/>
          <w:szCs w:val="22"/>
          <w:rtl/>
        </w:rPr>
        <w:t xml:space="preserve">סע (ת"א) 33477-12-10 </w:t>
      </w:r>
      <w:r w:rsidRPr="006B7299">
        <w:rPr>
          <w:color w:val="FF0000"/>
          <w:sz w:val="22"/>
          <w:szCs w:val="22"/>
        </w:rPr>
        <w:t>●</w:t>
      </w:r>
      <w:r w:rsidRPr="006B7299">
        <w:rPr>
          <w:rFonts w:hint="cs"/>
          <w:b/>
          <w:bCs/>
          <w:sz w:val="22"/>
          <w:szCs w:val="22"/>
          <w:rtl/>
        </w:rPr>
        <w:t xml:space="preserve"> </w:t>
      </w:r>
      <w:r w:rsidRPr="008469B5">
        <w:rPr>
          <w:rFonts w:hint="cs"/>
          <w:b/>
          <w:bCs/>
          <w:color w:val="FF0000"/>
          <w:sz w:val="22"/>
          <w:szCs w:val="22"/>
          <w:rtl/>
        </w:rPr>
        <w:t>שי משאלי נ' חברת מלונות דן בע"מ</w:t>
      </w:r>
      <w:r w:rsidRPr="008469B5">
        <w:rPr>
          <w:rFonts w:hint="cs"/>
          <w:color w:val="FF0000"/>
          <w:sz w:val="22"/>
          <w:szCs w:val="22"/>
          <w:rtl/>
        </w:rPr>
        <w:t xml:space="preserve"> </w:t>
      </w:r>
      <w:r w:rsidRPr="006B7299">
        <w:rPr>
          <w:rFonts w:hint="cs"/>
          <w:sz w:val="22"/>
          <w:szCs w:val="22"/>
          <w:rtl/>
        </w:rPr>
        <w:t xml:space="preserve">(12.12.13) </w:t>
      </w:r>
      <w:r w:rsidRPr="006B7299">
        <w:rPr>
          <w:sz w:val="22"/>
          <w:szCs w:val="22"/>
        </w:rPr>
        <w:t xml:space="preserve"> </w:t>
      </w:r>
      <w:r w:rsidRPr="006B7299">
        <w:rPr>
          <w:color w:val="FF0000"/>
          <w:sz w:val="22"/>
          <w:szCs w:val="22"/>
        </w:rPr>
        <w:t>●</w:t>
      </w:r>
      <w:r w:rsidRPr="006B7299">
        <w:rPr>
          <w:rFonts w:hint="cs"/>
          <w:sz w:val="22"/>
          <w:szCs w:val="22"/>
          <w:rtl/>
        </w:rPr>
        <w:t>בפני כבוד השופטת ד"ר אריאלה גילצר- כץ</w:t>
      </w:r>
      <w:bookmarkEnd w:id="70"/>
      <w:bookmarkEnd w:id="71"/>
      <w:bookmarkEnd w:id="72"/>
      <w:bookmarkEnd w:id="73"/>
    </w:p>
    <w:p w:rsidR="000118BE" w:rsidRPr="00BD3500" w:rsidRDefault="000118BE" w:rsidP="00A8553B">
      <w:pPr>
        <w:bidi/>
        <w:spacing w:line="360" w:lineRule="auto"/>
        <w:ind w:left="44" w:right="-180"/>
        <w:jc w:val="both"/>
        <w:outlineLvl w:val="2"/>
        <w:rPr>
          <w:rFonts w:ascii="Arial" w:hAnsi="Arial"/>
          <w:b/>
          <w:bCs/>
          <w:color w:val="0000FF"/>
          <w:sz w:val="22"/>
          <w:szCs w:val="22"/>
          <w:u w:val="single"/>
          <w:rtl/>
        </w:rPr>
      </w:pPr>
    </w:p>
    <w:p w:rsidR="000118BE" w:rsidRPr="00BD3500" w:rsidRDefault="000118BE" w:rsidP="00A8553B">
      <w:pPr>
        <w:numPr>
          <w:ilvl w:val="0"/>
          <w:numId w:val="34"/>
        </w:numPr>
        <w:tabs>
          <w:tab w:val="left" w:pos="70"/>
        </w:tabs>
        <w:bidi/>
        <w:spacing w:line="360" w:lineRule="auto"/>
        <w:jc w:val="both"/>
        <w:rPr>
          <w:rFonts w:ascii="Arial" w:hAnsi="Arial"/>
          <w:b/>
          <w:bCs/>
          <w:color w:val="0000FF"/>
          <w:sz w:val="24"/>
          <w:u w:val="single"/>
        </w:rPr>
      </w:pPr>
      <w:r w:rsidRPr="00BD3500">
        <w:rPr>
          <w:rFonts w:ascii="Arial" w:hAnsi="Arial" w:hint="cs"/>
          <w:b/>
          <w:bCs/>
          <w:color w:val="0000FF"/>
          <w:sz w:val="24"/>
          <w:u w:val="single"/>
          <w:rtl/>
        </w:rPr>
        <w:t>לעובדת עירייה נפסק פיצוי של 70,000 ₪ בגין סירוב הגזבר לחתום על הסכם פרישה בחוסר תום לב</w:t>
      </w:r>
    </w:p>
    <w:p w:rsidR="000118BE" w:rsidRPr="00350B99" w:rsidRDefault="000118BE" w:rsidP="00A8553B">
      <w:pPr>
        <w:tabs>
          <w:tab w:val="left" w:pos="70"/>
        </w:tabs>
        <w:bidi/>
        <w:spacing w:line="360" w:lineRule="auto"/>
        <w:jc w:val="both"/>
        <w:rPr>
          <w:rFonts w:ascii="Arial" w:hAnsi="Arial"/>
          <w:b/>
          <w:bCs/>
          <w:color w:val="008000"/>
          <w:sz w:val="24"/>
          <w:u w:val="single"/>
          <w:rtl/>
        </w:rPr>
      </w:pPr>
    </w:p>
    <w:p w:rsidR="000118BE" w:rsidRPr="00695BDF" w:rsidRDefault="000118BE" w:rsidP="00A8553B">
      <w:pPr>
        <w:tabs>
          <w:tab w:val="left" w:pos="90"/>
          <w:tab w:val="left" w:pos="392"/>
          <w:tab w:val="num" w:pos="708"/>
        </w:tabs>
        <w:bidi/>
        <w:spacing w:line="360" w:lineRule="auto"/>
        <w:ind w:left="44" w:right="-180"/>
        <w:jc w:val="both"/>
        <w:rPr>
          <w:rFonts w:eastAsia="Calibri"/>
          <w:b/>
          <w:bCs/>
          <w:color w:val="000000"/>
          <w:sz w:val="24"/>
          <w:rtl/>
        </w:rPr>
      </w:pPr>
      <w:r w:rsidRPr="00695BDF">
        <w:rPr>
          <w:rFonts w:eastAsia="Calibri" w:hint="cs"/>
          <w:b/>
          <w:bCs/>
          <w:color w:val="000000"/>
          <w:sz w:val="24"/>
          <w:rtl/>
        </w:rPr>
        <w:t>עובדת, שטענה כי נכרת הסכם פרישה בינה לבין המעסיקה, העירייה, הגישה תביעה לביצוע ההסכם או לחילופין פיצויים בסך 192,000 ₪ בגין הפרת ההסכם וניהול מו"מ שלא בתום לב.</w:t>
      </w:r>
    </w:p>
    <w:p w:rsidR="000118BE" w:rsidRPr="00695BDF" w:rsidRDefault="000118BE" w:rsidP="00A8553B">
      <w:pPr>
        <w:tabs>
          <w:tab w:val="left" w:pos="90"/>
          <w:tab w:val="left" w:pos="392"/>
          <w:tab w:val="num" w:pos="708"/>
        </w:tabs>
        <w:bidi/>
        <w:spacing w:line="360" w:lineRule="auto"/>
        <w:ind w:left="44" w:right="-180"/>
        <w:jc w:val="both"/>
        <w:rPr>
          <w:rFonts w:eastAsia="Calibri"/>
          <w:b/>
          <w:bCs/>
          <w:color w:val="000000"/>
          <w:sz w:val="24"/>
          <w:rtl/>
        </w:rPr>
      </w:pPr>
      <w:r w:rsidRPr="00695BDF">
        <w:rPr>
          <w:rFonts w:eastAsia="Calibri" w:hint="cs"/>
          <w:b/>
          <w:bCs/>
          <w:color w:val="000000"/>
          <w:sz w:val="24"/>
          <w:rtl/>
        </w:rPr>
        <w:t xml:space="preserve">לטענת העירייה, ההסכם אינו מחייב אותה לאחר שגזבר העירייה סירב לחתום עליו. </w:t>
      </w:r>
    </w:p>
    <w:p w:rsidR="000118BE" w:rsidRPr="00695BDF" w:rsidRDefault="000118BE" w:rsidP="00A8553B">
      <w:pPr>
        <w:tabs>
          <w:tab w:val="left" w:pos="90"/>
          <w:tab w:val="left" w:pos="392"/>
          <w:tab w:val="num" w:pos="708"/>
        </w:tabs>
        <w:bidi/>
        <w:spacing w:line="360" w:lineRule="auto"/>
        <w:ind w:left="44" w:right="-180"/>
        <w:jc w:val="both"/>
        <w:rPr>
          <w:rFonts w:eastAsia="Calibri"/>
          <w:b/>
          <w:bCs/>
          <w:color w:val="000000"/>
          <w:sz w:val="24"/>
          <w:rtl/>
        </w:rPr>
      </w:pPr>
      <w:r w:rsidRPr="00695BDF">
        <w:rPr>
          <w:rFonts w:eastAsia="Calibri" w:hint="cs"/>
          <w:b/>
          <w:bCs/>
          <w:color w:val="000000"/>
          <w:sz w:val="24"/>
          <w:rtl/>
        </w:rPr>
        <w:t xml:space="preserve">על פי סעיף 203 (א) לפקודת העיריות, שתכליתו שמירה על כספי הציבור, כל הסכם לרבות הסדר פשרה יחייב את העירייה רק לאחר חתימה כפולה של ראש העיריה והגזבר. </w:t>
      </w:r>
    </w:p>
    <w:p w:rsidR="000118BE" w:rsidRPr="00695BDF" w:rsidRDefault="000118BE" w:rsidP="00A8553B">
      <w:pPr>
        <w:tabs>
          <w:tab w:val="left" w:pos="90"/>
          <w:tab w:val="left" w:pos="392"/>
          <w:tab w:val="num" w:pos="708"/>
        </w:tabs>
        <w:bidi/>
        <w:spacing w:line="360" w:lineRule="auto"/>
        <w:ind w:left="44" w:right="-180"/>
        <w:jc w:val="both"/>
        <w:rPr>
          <w:rFonts w:eastAsia="Calibri"/>
          <w:b/>
          <w:bCs/>
          <w:color w:val="000000"/>
          <w:sz w:val="24"/>
          <w:rtl/>
        </w:rPr>
      </w:pPr>
      <w:r w:rsidRPr="00695BDF">
        <w:rPr>
          <w:rFonts w:eastAsia="Calibri" w:hint="cs"/>
          <w:b/>
          <w:bCs/>
          <w:color w:val="000000"/>
          <w:sz w:val="24"/>
          <w:rtl/>
        </w:rPr>
        <w:t>כמו כן, על פי סעיף 203 (א1) לפקודת העיריות, בבואו של הגזבר לחתום על הסכמים, עליו לשקול שיקולים תקציביים בלבד. לטענת העובדת, הגזבר סירב לחתום על הסדר הפשרה לאחר שטען כי פיטוריה מוצדקים ונעשו כדין, וכי אין כל הצדקה לתשלום "מענק מיוחד".</w:t>
      </w:r>
    </w:p>
    <w:p w:rsidR="000118BE" w:rsidRPr="00695BDF" w:rsidRDefault="000118BE" w:rsidP="00A8553B">
      <w:pPr>
        <w:tabs>
          <w:tab w:val="left" w:pos="90"/>
          <w:tab w:val="left" w:pos="392"/>
          <w:tab w:val="num" w:pos="708"/>
        </w:tabs>
        <w:bidi/>
        <w:spacing w:line="360" w:lineRule="auto"/>
        <w:ind w:left="44" w:right="-180"/>
        <w:jc w:val="both"/>
        <w:rPr>
          <w:rFonts w:eastAsia="Calibri"/>
          <w:b/>
          <w:bCs/>
          <w:color w:val="000000"/>
          <w:sz w:val="24"/>
          <w:rtl/>
        </w:rPr>
      </w:pPr>
      <w:r w:rsidRPr="00695BDF">
        <w:rPr>
          <w:rFonts w:eastAsia="Calibri" w:hint="cs"/>
          <w:b/>
          <w:bCs/>
          <w:color w:val="000000"/>
          <w:sz w:val="24"/>
          <w:rtl/>
        </w:rPr>
        <w:t xml:space="preserve">בית הדין האזורי פסק  כי לא נכרת הסכם מוסמך ותקף בין הצדדים מאחר והגזבר לא חתם עליו כנדרש בחוק. חרף זאת נפסק, כי מאחר והעירייה ניהלה משא ומתן עם העובדת שלא בתום לב, וכי הגזבר החליט משיקולים שאינם עניינים שלא לחתום על ההסכם, העירייה תפצה את העובדת בסך של 70,000 ₪ בגין חוסר תום הלב שמנע את שכלול ההסכם בשלב מתקדם של המשא ומתן. כמו כן, העירייה תישא בהוצאות משפט בסך 7,000 ₪. </w:t>
      </w:r>
    </w:p>
    <w:p w:rsidR="000118BE" w:rsidRPr="00695BDF" w:rsidRDefault="000118BE" w:rsidP="00A8553B">
      <w:pPr>
        <w:tabs>
          <w:tab w:val="left" w:pos="90"/>
          <w:tab w:val="left" w:pos="392"/>
          <w:tab w:val="num" w:pos="708"/>
        </w:tabs>
        <w:bidi/>
        <w:spacing w:line="360" w:lineRule="auto"/>
        <w:ind w:left="44" w:right="-180"/>
        <w:jc w:val="both"/>
        <w:rPr>
          <w:rFonts w:eastAsia="Calibri"/>
          <w:b/>
          <w:bCs/>
          <w:color w:val="000000"/>
          <w:sz w:val="22"/>
          <w:szCs w:val="22"/>
          <w:rtl/>
        </w:rPr>
      </w:pPr>
      <w:r w:rsidRPr="00695BDF">
        <w:rPr>
          <w:rFonts w:hint="cs"/>
          <w:sz w:val="22"/>
          <w:szCs w:val="22"/>
          <w:rtl/>
        </w:rPr>
        <w:t xml:space="preserve">סע (ב"ש) 1916-05-12 </w:t>
      </w:r>
      <w:r w:rsidRPr="00695BDF">
        <w:rPr>
          <w:color w:val="FF0000"/>
          <w:sz w:val="22"/>
          <w:szCs w:val="22"/>
        </w:rPr>
        <w:t>●</w:t>
      </w:r>
      <w:r w:rsidRPr="00695BDF">
        <w:rPr>
          <w:rFonts w:hint="cs"/>
          <w:b/>
          <w:bCs/>
          <w:sz w:val="22"/>
          <w:szCs w:val="22"/>
          <w:rtl/>
        </w:rPr>
        <w:t xml:space="preserve"> </w:t>
      </w:r>
      <w:r w:rsidRPr="008469B5">
        <w:rPr>
          <w:rFonts w:hint="cs"/>
          <w:b/>
          <w:bCs/>
          <w:color w:val="FF0000"/>
          <w:sz w:val="22"/>
          <w:szCs w:val="22"/>
          <w:rtl/>
        </w:rPr>
        <w:t>ענבל שורר ארואטי נ' עיריית אשדוד</w:t>
      </w:r>
      <w:r w:rsidRPr="008469B5">
        <w:rPr>
          <w:rFonts w:hint="cs"/>
          <w:color w:val="FF0000"/>
          <w:sz w:val="22"/>
          <w:szCs w:val="22"/>
          <w:rtl/>
        </w:rPr>
        <w:t xml:space="preserve"> </w:t>
      </w:r>
      <w:r w:rsidRPr="00695BDF">
        <w:rPr>
          <w:rFonts w:hint="cs"/>
          <w:sz w:val="22"/>
          <w:szCs w:val="22"/>
          <w:rtl/>
        </w:rPr>
        <w:t xml:space="preserve">(5.12.13) </w:t>
      </w:r>
      <w:r w:rsidRPr="00695BDF">
        <w:rPr>
          <w:sz w:val="22"/>
          <w:szCs w:val="22"/>
        </w:rPr>
        <w:t xml:space="preserve"> </w:t>
      </w:r>
      <w:r w:rsidRPr="00695BDF">
        <w:rPr>
          <w:color w:val="FF0000"/>
          <w:sz w:val="22"/>
          <w:szCs w:val="22"/>
        </w:rPr>
        <w:t>●</w:t>
      </w:r>
      <w:r w:rsidRPr="00695BDF">
        <w:rPr>
          <w:rFonts w:hint="cs"/>
          <w:sz w:val="22"/>
          <w:szCs w:val="22"/>
          <w:rtl/>
        </w:rPr>
        <w:t>בפני כבוד השופט צבי פרנקל, נ.ע. מר ישראל עמישי, נ.מ. מר דב אבדור</w:t>
      </w:r>
    </w:p>
    <w:p w:rsidR="000118BE" w:rsidRPr="00BD3500" w:rsidRDefault="000118BE" w:rsidP="00A8553B">
      <w:pPr>
        <w:pStyle w:val="2"/>
        <w:rPr>
          <w:color w:val="0000FF"/>
        </w:rPr>
      </w:pPr>
      <w:bookmarkStart w:id="74" w:name="_Toc228152682"/>
      <w:bookmarkStart w:id="75" w:name="_Toc383530625"/>
      <w:bookmarkStart w:id="76" w:name="_Toc383587165"/>
      <w:bookmarkStart w:id="77" w:name="_Toc383587370"/>
      <w:bookmarkStart w:id="78" w:name="_Toc383587812"/>
      <w:r w:rsidRPr="00BD3500">
        <w:rPr>
          <w:rFonts w:hint="cs"/>
          <w:color w:val="0000FF"/>
          <w:rtl/>
        </w:rPr>
        <w:lastRenderedPageBreak/>
        <w:t>שכר, זכויות סוציאליות וחובות</w:t>
      </w:r>
      <w:bookmarkEnd w:id="74"/>
      <w:bookmarkEnd w:id="75"/>
      <w:bookmarkEnd w:id="76"/>
      <w:bookmarkEnd w:id="77"/>
      <w:bookmarkEnd w:id="78"/>
    </w:p>
    <w:p w:rsidR="000118BE" w:rsidRPr="001861A3" w:rsidRDefault="000118BE" w:rsidP="008F590E">
      <w:pPr>
        <w:bidi/>
        <w:jc w:val="both"/>
        <w:outlineLvl w:val="1"/>
        <w:rPr>
          <w:rFonts w:ascii="David" w:hAnsi="David"/>
          <w:b/>
          <w:bCs/>
          <w:sz w:val="36"/>
          <w:szCs w:val="30"/>
          <w:u w:val="single"/>
        </w:rPr>
      </w:pPr>
      <w:r>
        <w:rPr>
          <w:rFonts w:ascii="David" w:hAnsi="David"/>
          <w:b/>
          <w:bCs/>
          <w:sz w:val="36"/>
          <w:szCs w:val="30"/>
          <w:u w:val="single"/>
          <w:rtl/>
        </w:rPr>
        <w:fldChar w:fldCharType="begin"/>
      </w:r>
      <w:r w:rsidRPr="00AB2927">
        <w:rPr>
          <w:rFonts w:ascii="David" w:hAnsi="David"/>
          <w:b/>
          <w:bCs/>
          <w:sz w:val="36"/>
          <w:szCs w:val="30"/>
          <w:u w:val="single"/>
        </w:rPr>
        <w:instrText xml:space="preserve"> TC "</w:instrText>
      </w:r>
      <w:bookmarkStart w:id="79" w:name="_Toc228528531"/>
      <w:r w:rsidRPr="00B523B7">
        <w:rPr>
          <w:rFonts w:ascii="David" w:hAnsi="David" w:hint="cs"/>
          <w:b/>
          <w:bCs/>
          <w:sz w:val="36"/>
          <w:szCs w:val="30"/>
          <w:u w:val="single"/>
          <w:rtl/>
        </w:rPr>
        <w:instrText>שכר, זכויות סוציאליות וחובות</w:instrText>
      </w:r>
      <w:bookmarkEnd w:id="79"/>
      <w:r w:rsidRPr="00AB2927">
        <w:rPr>
          <w:rFonts w:ascii="David" w:hAnsi="David"/>
          <w:b/>
          <w:bCs/>
          <w:sz w:val="36"/>
          <w:szCs w:val="30"/>
          <w:u w:val="single"/>
        </w:rPr>
        <w:instrText xml:space="preserve">" \f C \l "1" </w:instrText>
      </w:r>
      <w:r>
        <w:rPr>
          <w:rFonts w:ascii="David" w:hAnsi="David"/>
          <w:b/>
          <w:bCs/>
          <w:sz w:val="36"/>
          <w:szCs w:val="30"/>
          <w:u w:val="single"/>
          <w:rtl/>
        </w:rPr>
        <w:fldChar w:fldCharType="end"/>
      </w:r>
    </w:p>
    <w:p w:rsidR="000118BE" w:rsidRDefault="000118BE" w:rsidP="00A8553B">
      <w:pPr>
        <w:numPr>
          <w:ilvl w:val="0"/>
          <w:numId w:val="6"/>
        </w:numPr>
        <w:bidi/>
        <w:spacing w:line="360" w:lineRule="auto"/>
        <w:jc w:val="both"/>
        <w:outlineLvl w:val="2"/>
        <w:rPr>
          <w:rFonts w:ascii="David" w:hAnsi="David"/>
          <w:b/>
          <w:bCs/>
          <w:color w:val="FF0000"/>
          <w:sz w:val="32"/>
          <w:szCs w:val="26"/>
          <w:u w:val="single"/>
        </w:rPr>
      </w:pPr>
      <w:bookmarkStart w:id="80" w:name="_Toc383530626"/>
      <w:bookmarkStart w:id="81" w:name="_Toc383587166"/>
      <w:bookmarkStart w:id="82" w:name="_Toc383587371"/>
      <w:bookmarkStart w:id="83" w:name="_Toc383587813"/>
      <w:r>
        <w:rPr>
          <w:rFonts w:ascii="David" w:hAnsi="David" w:hint="cs"/>
          <w:b/>
          <w:bCs/>
          <w:color w:val="FF0000"/>
          <w:sz w:val="32"/>
          <w:szCs w:val="26"/>
          <w:u w:val="single"/>
          <w:rtl/>
        </w:rPr>
        <w:t>שעות עבודה, מנוחה, חופשה והבראה</w:t>
      </w:r>
      <w:bookmarkEnd w:id="80"/>
      <w:bookmarkEnd w:id="81"/>
      <w:bookmarkEnd w:id="82"/>
      <w:bookmarkEnd w:id="83"/>
    </w:p>
    <w:p w:rsidR="000118BE" w:rsidRPr="00BD3500" w:rsidRDefault="000118BE" w:rsidP="008F590E">
      <w:pPr>
        <w:bidi/>
        <w:jc w:val="both"/>
        <w:outlineLvl w:val="2"/>
        <w:rPr>
          <w:rFonts w:ascii="David" w:hAnsi="David"/>
          <w:b/>
          <w:bCs/>
          <w:color w:val="0000FF"/>
          <w:sz w:val="32"/>
          <w:szCs w:val="26"/>
          <w:u w:val="single"/>
        </w:rPr>
      </w:pPr>
    </w:p>
    <w:p w:rsidR="000118BE" w:rsidRPr="00BD3500" w:rsidRDefault="000118BE" w:rsidP="00A8553B">
      <w:pPr>
        <w:numPr>
          <w:ilvl w:val="0"/>
          <w:numId w:val="22"/>
        </w:numPr>
        <w:tabs>
          <w:tab w:val="left" w:pos="70"/>
        </w:tabs>
        <w:bidi/>
        <w:spacing w:line="360" w:lineRule="auto"/>
        <w:jc w:val="both"/>
        <w:rPr>
          <w:rFonts w:ascii="Arial" w:hAnsi="Arial"/>
          <w:b/>
          <w:bCs/>
          <w:color w:val="0000FF"/>
          <w:sz w:val="24"/>
          <w:u w:val="single"/>
        </w:rPr>
      </w:pPr>
      <w:r w:rsidRPr="00BD3500">
        <w:rPr>
          <w:rFonts w:ascii="Arial" w:hAnsi="Arial" w:hint="cs"/>
          <w:b/>
          <w:bCs/>
          <w:color w:val="0000FF"/>
          <w:sz w:val="24"/>
          <w:u w:val="single"/>
          <w:rtl/>
        </w:rPr>
        <w:t>זמן הנסיעה מהבית לעבודה, ייחשב כחלק משעות עבודתו של העובד אם שוחח בענייני עבודה</w:t>
      </w:r>
    </w:p>
    <w:p w:rsidR="000118BE" w:rsidRPr="00561EE2" w:rsidRDefault="000118BE" w:rsidP="008F590E">
      <w:pPr>
        <w:tabs>
          <w:tab w:val="left" w:pos="70"/>
        </w:tabs>
        <w:bidi/>
        <w:spacing w:line="276" w:lineRule="auto"/>
        <w:jc w:val="both"/>
        <w:rPr>
          <w:rFonts w:ascii="Arial" w:hAnsi="Arial"/>
          <w:b/>
          <w:bCs/>
          <w:color w:val="008000"/>
          <w:sz w:val="24"/>
          <w:u w:val="single"/>
          <w:rtl/>
        </w:rPr>
      </w:pPr>
    </w:p>
    <w:p w:rsidR="000118BE" w:rsidRPr="003E08E0" w:rsidRDefault="000118BE" w:rsidP="00A8553B">
      <w:pPr>
        <w:tabs>
          <w:tab w:val="left" w:pos="44"/>
        </w:tabs>
        <w:bidi/>
        <w:spacing w:line="360" w:lineRule="auto"/>
        <w:ind w:left="44"/>
        <w:jc w:val="both"/>
        <w:rPr>
          <w:rFonts w:ascii="Arial" w:eastAsia="Calibri" w:hAnsi="Arial"/>
          <w:b/>
          <w:bCs/>
          <w:sz w:val="24"/>
          <w:rtl/>
        </w:rPr>
      </w:pPr>
      <w:r w:rsidRPr="003E08E0">
        <w:rPr>
          <w:rFonts w:ascii="Arial" w:eastAsia="Calibri" w:hAnsi="Arial" w:hint="cs"/>
          <w:b/>
          <w:bCs/>
          <w:sz w:val="24"/>
          <w:rtl/>
        </w:rPr>
        <w:t xml:space="preserve">תובע שפוטר מעבודתו, תבע את המעסיקה לתשלום יתרת פיצויי פיטורים לאחר שזו, לטענתו, לא כללה את רכיבי העמלות והבונוסים לצורך חישוב הפיצויים. כמו כן, תבע העובד שכר בגין זמן הנסיעה לסניף המרוחק ממקום מגוריו, תשלום בגין שעות נוספות, ימי חופשה שלא שולמו לו או שולמו באופן חלקי ודמי הבראה חלקיים. </w:t>
      </w:r>
    </w:p>
    <w:p w:rsidR="000118BE" w:rsidRPr="003E08E0" w:rsidRDefault="000118BE" w:rsidP="00A8553B">
      <w:pPr>
        <w:tabs>
          <w:tab w:val="left" w:pos="44"/>
        </w:tabs>
        <w:bidi/>
        <w:spacing w:line="360" w:lineRule="auto"/>
        <w:ind w:left="44"/>
        <w:jc w:val="both"/>
        <w:rPr>
          <w:rFonts w:ascii="Arial" w:eastAsia="Calibri" w:hAnsi="Arial"/>
          <w:b/>
          <w:bCs/>
          <w:sz w:val="24"/>
          <w:rtl/>
        </w:rPr>
      </w:pPr>
      <w:r w:rsidRPr="003E08E0">
        <w:rPr>
          <w:rFonts w:ascii="Arial" w:eastAsia="Calibri" w:hAnsi="Arial" w:hint="cs"/>
          <w:b/>
          <w:bCs/>
          <w:sz w:val="24"/>
          <w:rtl/>
        </w:rPr>
        <w:t xml:space="preserve">ככלל, זמן הנסיעות מהעבודה אל הבית או מהבית אל מקום העבודה אינו חלק משעות עבודתו של העובד, אולם בענייננו, פסק בית הדין כי יש להחשיב את זמן הנסיעה של העובד מביתו למקום עבודתו המרוחק כשעות עבודה, לאחר שהוכח כי העובד נדרש לשוחח עם עובדי המעסיקה במהלך הנסיעה, על מנת לתדרך אותם.  כמו כן, המעסיקה תשלם את יתרת פיצויי הפיטורים, לאחר שנפסק כי רכיבי עמלות ובונוסים הינם חלק משכרו הקובע של העובד, שעות נוספות, דמי חופשה, דמי הבראה והוצאות משפט. </w:t>
      </w:r>
    </w:p>
    <w:p w:rsidR="000118BE" w:rsidRPr="00C542C9" w:rsidRDefault="000118BE" w:rsidP="00A8553B">
      <w:pPr>
        <w:tabs>
          <w:tab w:val="left" w:pos="44"/>
          <w:tab w:val="left" w:pos="90"/>
        </w:tabs>
        <w:bidi/>
        <w:spacing w:line="360" w:lineRule="auto"/>
        <w:ind w:left="44"/>
        <w:jc w:val="both"/>
        <w:rPr>
          <w:rFonts w:ascii="David" w:eastAsia="Calibri" w:hAnsi="David"/>
          <w:color w:val="000000"/>
          <w:sz w:val="22"/>
          <w:szCs w:val="22"/>
          <w:highlight w:val="yellow"/>
          <w:rtl/>
        </w:rPr>
      </w:pPr>
      <w:r w:rsidRPr="00C542C9">
        <w:rPr>
          <w:rFonts w:hint="cs"/>
          <w:sz w:val="22"/>
          <w:szCs w:val="22"/>
          <w:rtl/>
        </w:rPr>
        <w:t xml:space="preserve">סע (ת"א) 6061-09-11 </w:t>
      </w:r>
      <w:r w:rsidRPr="00C542C9">
        <w:rPr>
          <w:color w:val="FF0000"/>
          <w:sz w:val="22"/>
          <w:szCs w:val="22"/>
        </w:rPr>
        <w:t>●</w:t>
      </w:r>
      <w:r w:rsidRPr="00C542C9">
        <w:rPr>
          <w:rFonts w:hint="cs"/>
          <w:b/>
          <w:bCs/>
          <w:sz w:val="22"/>
          <w:szCs w:val="22"/>
          <w:rtl/>
        </w:rPr>
        <w:t xml:space="preserve"> </w:t>
      </w:r>
      <w:r w:rsidRPr="008469B5">
        <w:rPr>
          <w:rFonts w:hint="cs"/>
          <w:b/>
          <w:bCs/>
          <w:color w:val="FF0000"/>
          <w:sz w:val="22"/>
          <w:szCs w:val="22"/>
          <w:rtl/>
        </w:rPr>
        <w:t>רפאל שגב נ' פרמייר ים המלח מעבדות קוסמטיקה בע"מ</w:t>
      </w:r>
      <w:r w:rsidRPr="008469B5">
        <w:rPr>
          <w:rFonts w:hint="cs"/>
          <w:color w:val="FF0000"/>
          <w:sz w:val="22"/>
          <w:szCs w:val="22"/>
          <w:rtl/>
        </w:rPr>
        <w:t xml:space="preserve"> </w:t>
      </w:r>
      <w:r w:rsidRPr="00C542C9">
        <w:rPr>
          <w:rFonts w:hint="cs"/>
          <w:sz w:val="22"/>
          <w:szCs w:val="22"/>
          <w:rtl/>
        </w:rPr>
        <w:t xml:space="preserve">(31.10.13) </w:t>
      </w:r>
      <w:r w:rsidRPr="00C542C9">
        <w:rPr>
          <w:sz w:val="22"/>
          <w:szCs w:val="22"/>
        </w:rPr>
        <w:t xml:space="preserve"> </w:t>
      </w:r>
      <w:r w:rsidRPr="00C542C9">
        <w:rPr>
          <w:color w:val="FF0000"/>
          <w:sz w:val="22"/>
          <w:szCs w:val="22"/>
        </w:rPr>
        <w:t>●</w:t>
      </w:r>
      <w:r w:rsidRPr="00C542C9">
        <w:rPr>
          <w:rFonts w:hint="cs"/>
          <w:sz w:val="22"/>
          <w:szCs w:val="22"/>
          <w:rtl/>
        </w:rPr>
        <w:t xml:space="preserve"> בפני כבוד השופטת ד"ר אריאלה גילצר- כץ</w:t>
      </w:r>
    </w:p>
    <w:p w:rsidR="00DA5A2D" w:rsidRDefault="00DA5A2D" w:rsidP="00DA5A2D">
      <w:pPr>
        <w:tabs>
          <w:tab w:val="left" w:pos="44"/>
        </w:tabs>
        <w:bidi/>
        <w:spacing w:line="360" w:lineRule="auto"/>
        <w:ind w:left="44"/>
        <w:jc w:val="both"/>
        <w:outlineLvl w:val="2"/>
        <w:rPr>
          <w:rFonts w:ascii="David" w:hAnsi="David"/>
          <w:b/>
          <w:bCs/>
          <w:color w:val="FF0000"/>
          <w:sz w:val="32"/>
          <w:szCs w:val="26"/>
          <w:u w:val="single"/>
          <w:rtl/>
        </w:rPr>
      </w:pPr>
    </w:p>
    <w:p w:rsidR="000118BE" w:rsidRDefault="000118BE" w:rsidP="00A8553B">
      <w:pPr>
        <w:numPr>
          <w:ilvl w:val="0"/>
          <w:numId w:val="6"/>
        </w:numPr>
        <w:bidi/>
        <w:spacing w:line="360" w:lineRule="auto"/>
        <w:jc w:val="both"/>
        <w:outlineLvl w:val="2"/>
        <w:rPr>
          <w:rFonts w:ascii="David" w:hAnsi="David"/>
          <w:b/>
          <w:bCs/>
          <w:color w:val="FF0000"/>
          <w:sz w:val="32"/>
          <w:szCs w:val="26"/>
          <w:u w:val="single"/>
        </w:rPr>
      </w:pPr>
      <w:bookmarkStart w:id="84" w:name="_Toc383530627"/>
      <w:bookmarkStart w:id="85" w:name="_Toc383587167"/>
      <w:bookmarkStart w:id="86" w:name="_Toc383587372"/>
      <w:bookmarkStart w:id="87" w:name="_Toc383587814"/>
      <w:r>
        <w:rPr>
          <w:rFonts w:ascii="David" w:hAnsi="David" w:hint="cs"/>
          <w:b/>
          <w:bCs/>
          <w:color w:val="FF0000"/>
          <w:sz w:val="32"/>
          <w:szCs w:val="26"/>
          <w:u w:val="single"/>
          <w:rtl/>
        </w:rPr>
        <w:t>הזכות לעבודה בישיבה</w:t>
      </w:r>
      <w:bookmarkEnd w:id="84"/>
      <w:bookmarkEnd w:id="85"/>
      <w:bookmarkEnd w:id="86"/>
      <w:bookmarkEnd w:id="87"/>
    </w:p>
    <w:p w:rsidR="000118BE" w:rsidRDefault="000118BE" w:rsidP="008F590E">
      <w:pPr>
        <w:bidi/>
        <w:jc w:val="both"/>
        <w:outlineLvl w:val="2"/>
        <w:rPr>
          <w:rFonts w:ascii="David" w:hAnsi="David"/>
          <w:b/>
          <w:bCs/>
          <w:color w:val="FF0000"/>
          <w:sz w:val="32"/>
          <w:szCs w:val="26"/>
          <w:u w:val="single"/>
        </w:rPr>
      </w:pPr>
    </w:p>
    <w:p w:rsidR="000118BE" w:rsidRPr="00BD3500" w:rsidRDefault="000118BE" w:rsidP="00A8553B">
      <w:pPr>
        <w:numPr>
          <w:ilvl w:val="0"/>
          <w:numId w:val="37"/>
        </w:numPr>
        <w:tabs>
          <w:tab w:val="left" w:pos="70"/>
        </w:tabs>
        <w:bidi/>
        <w:spacing w:line="360" w:lineRule="auto"/>
        <w:jc w:val="both"/>
        <w:rPr>
          <w:rFonts w:ascii="Arial" w:hAnsi="Arial"/>
          <w:b/>
          <w:bCs/>
          <w:color w:val="0000FF"/>
          <w:sz w:val="24"/>
          <w:u w:val="single"/>
        </w:rPr>
      </w:pPr>
      <w:r w:rsidRPr="00BD3500">
        <w:rPr>
          <w:rFonts w:ascii="Arial" w:hAnsi="Arial" w:hint="cs"/>
          <w:b/>
          <w:bCs/>
          <w:color w:val="0000FF"/>
          <w:sz w:val="24"/>
          <w:u w:val="single"/>
          <w:rtl/>
        </w:rPr>
        <w:t>בית הדין פסק פיצויים לעובדת בגין הפרת חוק הזכות לעבודה בישיבה</w:t>
      </w:r>
    </w:p>
    <w:p w:rsidR="000118BE" w:rsidRPr="00561EE2" w:rsidRDefault="000118BE" w:rsidP="008F590E">
      <w:pPr>
        <w:tabs>
          <w:tab w:val="left" w:pos="70"/>
        </w:tabs>
        <w:bidi/>
        <w:jc w:val="both"/>
        <w:rPr>
          <w:rFonts w:ascii="Arial" w:hAnsi="Arial"/>
          <w:b/>
          <w:bCs/>
          <w:color w:val="008000"/>
          <w:sz w:val="24"/>
          <w:u w:val="single"/>
          <w:rtl/>
        </w:rPr>
      </w:pPr>
    </w:p>
    <w:p w:rsidR="000118BE" w:rsidRPr="00266FD1" w:rsidRDefault="000118BE" w:rsidP="00A8553B">
      <w:pPr>
        <w:tabs>
          <w:tab w:val="left" w:pos="44"/>
        </w:tabs>
        <w:bidi/>
        <w:spacing w:line="360" w:lineRule="auto"/>
        <w:ind w:left="44"/>
        <w:jc w:val="both"/>
        <w:rPr>
          <w:rFonts w:ascii="Arial" w:eastAsia="Calibri" w:hAnsi="Arial"/>
          <w:b/>
          <w:bCs/>
          <w:sz w:val="24"/>
          <w:rtl/>
        </w:rPr>
      </w:pPr>
      <w:r w:rsidRPr="00266FD1">
        <w:rPr>
          <w:rFonts w:ascii="Arial" w:eastAsia="Calibri" w:hAnsi="Arial" w:hint="cs"/>
          <w:b/>
          <w:bCs/>
          <w:sz w:val="24"/>
          <w:rtl/>
        </w:rPr>
        <w:t xml:space="preserve">המעסיקה בקשה לפטר את העובדת בהיותה בהריון אך הממונה על חוק עבודת נשים סירבה לאשר את הפיטורים והעובדת המשיכה בעבודתה עד התפטרותה לצורך טיפול בילדה. </w:t>
      </w:r>
    </w:p>
    <w:p w:rsidR="000118BE" w:rsidRPr="00266FD1" w:rsidRDefault="000118BE" w:rsidP="00A8553B">
      <w:pPr>
        <w:tabs>
          <w:tab w:val="left" w:pos="44"/>
        </w:tabs>
        <w:bidi/>
        <w:spacing w:line="360" w:lineRule="auto"/>
        <w:ind w:left="44"/>
        <w:jc w:val="both"/>
        <w:rPr>
          <w:rFonts w:ascii="Arial" w:eastAsia="Calibri" w:hAnsi="Arial"/>
          <w:b/>
          <w:bCs/>
          <w:sz w:val="24"/>
          <w:rtl/>
        </w:rPr>
      </w:pPr>
      <w:r w:rsidRPr="00266FD1">
        <w:rPr>
          <w:rFonts w:ascii="Arial" w:eastAsia="Calibri" w:hAnsi="Arial" w:hint="cs"/>
          <w:b/>
          <w:bCs/>
          <w:sz w:val="24"/>
          <w:rtl/>
        </w:rPr>
        <w:t xml:space="preserve">לטענת העובדת, החל ממועד ההודעה על הריונה החלה מסכת התעמרות, רדיפה והרעת תנאי עבודתה על מנת לאלץ אותה להתפטר מעבודתה. בן היתר, היא קיבלה מכתב שבו נאסר עליה לשבת על כיסא במהלך העבודה. </w:t>
      </w:r>
    </w:p>
    <w:p w:rsidR="000118BE" w:rsidRPr="00266FD1" w:rsidRDefault="000118BE" w:rsidP="00A8553B">
      <w:pPr>
        <w:tabs>
          <w:tab w:val="left" w:pos="44"/>
        </w:tabs>
        <w:bidi/>
        <w:spacing w:line="360" w:lineRule="auto"/>
        <w:ind w:left="44"/>
        <w:jc w:val="both"/>
        <w:rPr>
          <w:rFonts w:ascii="Arial" w:eastAsia="Calibri" w:hAnsi="Arial"/>
          <w:b/>
          <w:bCs/>
          <w:sz w:val="24"/>
          <w:rtl/>
        </w:rPr>
      </w:pPr>
      <w:r w:rsidRPr="00266FD1">
        <w:rPr>
          <w:rFonts w:ascii="Arial" w:eastAsia="Calibri" w:hAnsi="Arial" w:hint="cs"/>
          <w:b/>
          <w:bCs/>
          <w:sz w:val="24"/>
          <w:rtl/>
        </w:rPr>
        <w:t xml:space="preserve">מנגד, טענה המעסיקה, כי העובדת לא תפקדה לשביעות רצונה עוד בטרם תחילת ההיריון. </w:t>
      </w:r>
    </w:p>
    <w:p w:rsidR="000118BE" w:rsidRPr="00266FD1" w:rsidRDefault="000118BE" w:rsidP="00A8553B">
      <w:pPr>
        <w:tabs>
          <w:tab w:val="left" w:pos="44"/>
        </w:tabs>
        <w:bidi/>
        <w:spacing w:line="360" w:lineRule="auto"/>
        <w:ind w:left="44"/>
        <w:jc w:val="both"/>
        <w:rPr>
          <w:rFonts w:ascii="Arial" w:eastAsia="Calibri" w:hAnsi="Arial"/>
          <w:b/>
          <w:bCs/>
          <w:sz w:val="24"/>
          <w:rtl/>
        </w:rPr>
      </w:pPr>
      <w:r w:rsidRPr="00266FD1">
        <w:rPr>
          <w:rFonts w:ascii="Arial" w:eastAsia="Calibri" w:hAnsi="Arial" w:hint="cs"/>
          <w:b/>
          <w:bCs/>
          <w:sz w:val="24"/>
          <w:rtl/>
        </w:rPr>
        <w:t>על פי ס' 2(א) לחוק שוויון הזדמנויות בעבודה, התשמ"ח- 1988, מעביד לא יפלה עובדת, בן היתר, על רקע הריון.</w:t>
      </w:r>
    </w:p>
    <w:p w:rsidR="000118BE" w:rsidRPr="00266FD1" w:rsidRDefault="000118BE" w:rsidP="00A8553B">
      <w:pPr>
        <w:tabs>
          <w:tab w:val="left" w:pos="44"/>
        </w:tabs>
        <w:bidi/>
        <w:spacing w:line="360" w:lineRule="auto"/>
        <w:ind w:left="44"/>
        <w:jc w:val="both"/>
        <w:rPr>
          <w:rFonts w:ascii="Arial" w:eastAsia="Calibri" w:hAnsi="Arial"/>
          <w:b/>
          <w:bCs/>
          <w:sz w:val="24"/>
          <w:rtl/>
        </w:rPr>
      </w:pPr>
      <w:r w:rsidRPr="00266FD1">
        <w:rPr>
          <w:rFonts w:ascii="Arial" w:eastAsia="Calibri" w:hAnsi="Arial" w:hint="cs"/>
          <w:b/>
          <w:bCs/>
          <w:sz w:val="24"/>
          <w:rtl/>
        </w:rPr>
        <w:t xml:space="preserve">על פי ס' 2 לחוק הזכות לעבודה בישיבה, התשס"ז- 2007, מעביד יעמיד לרשות עובד במקום העבודה מושב ולא ימנע ממנו ישיבה במהלך העבודה, אלא אם הוכיח כי ביצועה הרגיל של העבודה אינו מאפשר ישיבה. </w:t>
      </w:r>
    </w:p>
    <w:p w:rsidR="000118BE" w:rsidRPr="00266FD1" w:rsidRDefault="000118BE" w:rsidP="00A8553B">
      <w:pPr>
        <w:tabs>
          <w:tab w:val="left" w:pos="44"/>
        </w:tabs>
        <w:bidi/>
        <w:spacing w:line="360" w:lineRule="auto"/>
        <w:ind w:left="44"/>
        <w:jc w:val="both"/>
        <w:rPr>
          <w:rFonts w:ascii="Arial" w:eastAsia="Calibri" w:hAnsi="Arial"/>
          <w:b/>
          <w:bCs/>
          <w:sz w:val="24"/>
          <w:rtl/>
        </w:rPr>
      </w:pPr>
      <w:r w:rsidRPr="00266FD1">
        <w:rPr>
          <w:rFonts w:ascii="Arial" w:eastAsia="Calibri" w:hAnsi="Arial" w:hint="cs"/>
          <w:b/>
          <w:bCs/>
          <w:sz w:val="24"/>
          <w:rtl/>
        </w:rPr>
        <w:t xml:space="preserve">בענייננו, בית הדין קיבל את התביעה לפיצוי מכוח חוק עבודה בישיבה ופסק פיצוי ללא הוכחת נזק בסך של 15,000 ₪, וכן, הוצאות שכ"ט עו"ד בסך 3,500 ₪. </w:t>
      </w:r>
    </w:p>
    <w:p w:rsidR="000118BE" w:rsidRPr="00266FD1" w:rsidRDefault="000118BE" w:rsidP="00A8553B">
      <w:pPr>
        <w:tabs>
          <w:tab w:val="left" w:pos="44"/>
        </w:tabs>
        <w:bidi/>
        <w:spacing w:line="360" w:lineRule="auto"/>
        <w:ind w:left="44"/>
        <w:jc w:val="both"/>
        <w:rPr>
          <w:rFonts w:ascii="Arial" w:eastAsia="Calibri" w:hAnsi="Arial"/>
          <w:b/>
          <w:bCs/>
          <w:sz w:val="24"/>
          <w:rtl/>
        </w:rPr>
      </w:pPr>
      <w:r w:rsidRPr="00266FD1">
        <w:rPr>
          <w:rFonts w:ascii="Arial" w:eastAsia="Calibri" w:hAnsi="Arial" w:hint="cs"/>
          <w:b/>
          <w:bCs/>
          <w:sz w:val="24"/>
          <w:rtl/>
        </w:rPr>
        <w:lastRenderedPageBreak/>
        <w:t xml:space="preserve">עם זאת, בית הדין דחה את התביעה לפיצוי מכוח חוק שוויון הזדמנויות ופסק כי רצונו של המעביד לפטר את העובדת לא נבע בשל הריונה, אלא בשל חוסר שביעות רצון מתפקודה עוד בטרם תחילת ההיריון.  </w:t>
      </w:r>
    </w:p>
    <w:p w:rsidR="000118BE" w:rsidRDefault="000118BE" w:rsidP="00A8553B">
      <w:pPr>
        <w:tabs>
          <w:tab w:val="left" w:pos="44"/>
        </w:tabs>
        <w:bidi/>
        <w:spacing w:line="360" w:lineRule="auto"/>
        <w:ind w:left="44"/>
        <w:jc w:val="both"/>
        <w:rPr>
          <w:rFonts w:ascii="David" w:eastAsia="Calibri" w:hAnsi="David"/>
          <w:color w:val="000000"/>
          <w:sz w:val="22"/>
          <w:szCs w:val="22"/>
          <w:highlight w:val="yellow"/>
          <w:rtl/>
        </w:rPr>
      </w:pPr>
      <w:r w:rsidRPr="00266FD1">
        <w:rPr>
          <w:rFonts w:hint="cs"/>
          <w:sz w:val="22"/>
          <w:szCs w:val="22"/>
          <w:rtl/>
        </w:rPr>
        <w:t xml:space="preserve">ס"ע 9593-04-11 </w:t>
      </w:r>
      <w:r w:rsidRPr="00266FD1">
        <w:rPr>
          <w:color w:val="FF0000"/>
          <w:sz w:val="22"/>
          <w:szCs w:val="22"/>
        </w:rPr>
        <w:t>●</w:t>
      </w:r>
      <w:r w:rsidRPr="00266FD1">
        <w:rPr>
          <w:rFonts w:hint="cs"/>
          <w:b/>
          <w:bCs/>
          <w:sz w:val="22"/>
          <w:szCs w:val="22"/>
          <w:rtl/>
        </w:rPr>
        <w:t xml:space="preserve"> </w:t>
      </w:r>
      <w:r w:rsidRPr="008469B5">
        <w:rPr>
          <w:rFonts w:hint="cs"/>
          <w:b/>
          <w:bCs/>
          <w:color w:val="FF0000"/>
          <w:sz w:val="22"/>
          <w:szCs w:val="22"/>
          <w:rtl/>
        </w:rPr>
        <w:t>ז'אנה בליאסוב נ' ר.ק. מתן שותפות מוגבלת</w:t>
      </w:r>
      <w:r w:rsidRPr="008469B5">
        <w:rPr>
          <w:rFonts w:hint="cs"/>
          <w:color w:val="FF0000"/>
          <w:sz w:val="22"/>
          <w:szCs w:val="22"/>
          <w:rtl/>
        </w:rPr>
        <w:t xml:space="preserve"> </w:t>
      </w:r>
      <w:r w:rsidRPr="00266FD1">
        <w:rPr>
          <w:rFonts w:hint="cs"/>
          <w:sz w:val="22"/>
          <w:szCs w:val="22"/>
          <w:rtl/>
        </w:rPr>
        <w:t xml:space="preserve">(30.9.13) </w:t>
      </w:r>
      <w:r w:rsidRPr="00266FD1">
        <w:rPr>
          <w:sz w:val="22"/>
          <w:szCs w:val="22"/>
        </w:rPr>
        <w:t xml:space="preserve"> </w:t>
      </w:r>
      <w:r w:rsidRPr="00266FD1">
        <w:rPr>
          <w:color w:val="FF0000"/>
          <w:sz w:val="22"/>
          <w:szCs w:val="22"/>
        </w:rPr>
        <w:t>●</w:t>
      </w:r>
      <w:r w:rsidRPr="00266FD1">
        <w:rPr>
          <w:rFonts w:hint="cs"/>
          <w:sz w:val="22"/>
          <w:szCs w:val="22"/>
          <w:rtl/>
        </w:rPr>
        <w:t>בפני כבוד השופט ד"ר יצחק לובוצקי, נ.ע. מר ישראל אסא</w:t>
      </w:r>
    </w:p>
    <w:p w:rsidR="000118BE" w:rsidRDefault="000118BE" w:rsidP="00A8553B">
      <w:pPr>
        <w:tabs>
          <w:tab w:val="left" w:pos="44"/>
        </w:tabs>
        <w:bidi/>
        <w:spacing w:line="360" w:lineRule="auto"/>
        <w:ind w:left="44"/>
        <w:jc w:val="both"/>
        <w:rPr>
          <w:rFonts w:ascii="David" w:eastAsia="Calibri" w:hAnsi="David"/>
          <w:color w:val="000000"/>
          <w:sz w:val="22"/>
          <w:szCs w:val="22"/>
          <w:highlight w:val="yellow"/>
          <w:rtl/>
        </w:rPr>
      </w:pPr>
    </w:p>
    <w:p w:rsidR="000118BE" w:rsidRDefault="000118BE" w:rsidP="00A8553B">
      <w:pPr>
        <w:numPr>
          <w:ilvl w:val="0"/>
          <w:numId w:val="6"/>
        </w:numPr>
        <w:bidi/>
        <w:spacing w:line="360" w:lineRule="auto"/>
        <w:jc w:val="both"/>
        <w:outlineLvl w:val="2"/>
        <w:rPr>
          <w:rFonts w:ascii="David" w:hAnsi="David"/>
          <w:b/>
          <w:bCs/>
          <w:color w:val="FF0000"/>
          <w:sz w:val="32"/>
          <w:szCs w:val="26"/>
          <w:u w:val="single"/>
        </w:rPr>
      </w:pPr>
      <w:bookmarkStart w:id="88" w:name="_Toc383530628"/>
      <w:bookmarkStart w:id="89" w:name="_Toc383587168"/>
      <w:bookmarkStart w:id="90" w:name="_Toc383587373"/>
      <w:bookmarkStart w:id="91" w:name="_Toc383587815"/>
      <w:r>
        <w:rPr>
          <w:rFonts w:ascii="David" w:hAnsi="David" w:hint="cs"/>
          <w:b/>
          <w:bCs/>
          <w:color w:val="FF0000"/>
          <w:sz w:val="32"/>
          <w:szCs w:val="26"/>
          <w:u w:val="single"/>
          <w:rtl/>
        </w:rPr>
        <w:t>הטבות בגין לימודים</w:t>
      </w:r>
      <w:bookmarkEnd w:id="88"/>
      <w:bookmarkEnd w:id="89"/>
      <w:bookmarkEnd w:id="90"/>
      <w:bookmarkEnd w:id="91"/>
    </w:p>
    <w:p w:rsidR="000118BE" w:rsidRDefault="000118BE" w:rsidP="008F590E">
      <w:pPr>
        <w:bidi/>
        <w:jc w:val="both"/>
        <w:outlineLvl w:val="2"/>
        <w:rPr>
          <w:rFonts w:ascii="David" w:hAnsi="David"/>
          <w:b/>
          <w:bCs/>
          <w:color w:val="FF0000"/>
          <w:sz w:val="32"/>
          <w:szCs w:val="26"/>
          <w:u w:val="single"/>
        </w:rPr>
      </w:pPr>
    </w:p>
    <w:p w:rsidR="000118BE" w:rsidRPr="00BD3500" w:rsidRDefault="000118BE" w:rsidP="00A8553B">
      <w:pPr>
        <w:numPr>
          <w:ilvl w:val="0"/>
          <w:numId w:val="38"/>
        </w:numPr>
        <w:tabs>
          <w:tab w:val="left" w:pos="70"/>
        </w:tabs>
        <w:bidi/>
        <w:spacing w:line="360" w:lineRule="auto"/>
        <w:jc w:val="both"/>
        <w:rPr>
          <w:rFonts w:ascii="Arial" w:hAnsi="Arial"/>
          <w:b/>
          <w:bCs/>
          <w:color w:val="0000FF"/>
          <w:sz w:val="24"/>
          <w:u w:val="single"/>
        </w:rPr>
      </w:pPr>
      <w:r w:rsidRPr="00BD3500">
        <w:rPr>
          <w:rFonts w:ascii="Arial" w:hAnsi="Arial" w:hint="cs"/>
          <w:b/>
          <w:bCs/>
          <w:color w:val="0000FF"/>
          <w:sz w:val="24"/>
          <w:u w:val="single"/>
          <w:rtl/>
        </w:rPr>
        <w:t>הוכר תואר דוקטור לעובד מדינה שהוכיח שעבודת הגמר הייתה אוטנטית</w:t>
      </w:r>
    </w:p>
    <w:p w:rsidR="000118BE" w:rsidRPr="00561EE2" w:rsidRDefault="000118BE" w:rsidP="008F590E">
      <w:pPr>
        <w:tabs>
          <w:tab w:val="left" w:pos="70"/>
        </w:tabs>
        <w:bidi/>
        <w:jc w:val="both"/>
        <w:rPr>
          <w:rFonts w:ascii="Arial" w:hAnsi="Arial"/>
          <w:b/>
          <w:bCs/>
          <w:color w:val="008000"/>
          <w:sz w:val="24"/>
          <w:u w:val="single"/>
          <w:rtl/>
        </w:rPr>
      </w:pPr>
    </w:p>
    <w:p w:rsidR="000118BE" w:rsidRPr="00A72FDC" w:rsidRDefault="000118BE" w:rsidP="00A8553B">
      <w:pPr>
        <w:tabs>
          <w:tab w:val="left" w:pos="44"/>
        </w:tabs>
        <w:bidi/>
        <w:spacing w:line="360" w:lineRule="auto"/>
        <w:ind w:left="44"/>
        <w:jc w:val="both"/>
        <w:rPr>
          <w:rFonts w:ascii="Arial" w:eastAsia="Calibri" w:hAnsi="Arial"/>
          <w:b/>
          <w:bCs/>
          <w:sz w:val="24"/>
          <w:rtl/>
        </w:rPr>
      </w:pPr>
      <w:r w:rsidRPr="00A72FDC">
        <w:rPr>
          <w:rFonts w:ascii="Arial" w:eastAsia="Calibri" w:hAnsi="Arial" w:hint="cs"/>
          <w:b/>
          <w:bCs/>
          <w:sz w:val="24"/>
          <w:rtl/>
        </w:rPr>
        <w:t xml:space="preserve">בית הדין האזורי לעבודה קיבל תביעת עובד מדינה, אשר ביקש צו הצהרתי שהוא זכאי לקבל ממשרד החינוך אישור לתואר דוקטור, אותו רכש כדין באוניברסיטת סנט פטרסבורג. </w:t>
      </w:r>
    </w:p>
    <w:p w:rsidR="000118BE" w:rsidRPr="00A72FDC" w:rsidRDefault="000118BE" w:rsidP="00A8553B">
      <w:pPr>
        <w:tabs>
          <w:tab w:val="left" w:pos="44"/>
        </w:tabs>
        <w:bidi/>
        <w:spacing w:line="360" w:lineRule="auto"/>
        <w:ind w:left="44"/>
        <w:jc w:val="both"/>
        <w:rPr>
          <w:rFonts w:ascii="Arial" w:eastAsia="Calibri" w:hAnsi="Arial"/>
          <w:b/>
          <w:bCs/>
          <w:sz w:val="24"/>
          <w:rtl/>
        </w:rPr>
      </w:pPr>
      <w:r w:rsidRPr="00A72FDC">
        <w:rPr>
          <w:rFonts w:ascii="Arial" w:eastAsia="Calibri" w:hAnsi="Arial" w:hint="cs"/>
          <w:b/>
          <w:bCs/>
          <w:sz w:val="24"/>
          <w:rtl/>
        </w:rPr>
        <w:t xml:space="preserve">הגף להערכת תארים במשרד החינוך סירב להכיר בשקילות התואר השלישי של התובע, בין השאר בטענה כי עבודת הגמר שהגיש הינה מזויפת, ומינה ועדת בדיקה לאותנטיות העבודה. בית הדין קבע, כי אין לוועדה, ואף לא לבית הדין, כל סמכות במקרה זה לקבוע האם העבודה שהוכרה כעבודת דוקטורט על ידי האוניברסיטה שוות ערך לעבודה שהייתה מוכרת באוניברסיטה בישראל. עוד קבע בית הדין, כי הועדה לא ערכה בירור כנדרש, נהגה בעובד ובעבודתו האקדמאית בזלזול ובבוז ולא הרימה את נטל ההוכחה לטענת הזיוף. </w:t>
      </w:r>
    </w:p>
    <w:p w:rsidR="000118BE" w:rsidRPr="00A72FDC" w:rsidRDefault="000118BE" w:rsidP="00A8553B">
      <w:pPr>
        <w:tabs>
          <w:tab w:val="left" w:pos="44"/>
        </w:tabs>
        <w:bidi/>
        <w:spacing w:line="360" w:lineRule="auto"/>
        <w:ind w:left="44"/>
        <w:jc w:val="both"/>
        <w:rPr>
          <w:rFonts w:ascii="Arial" w:eastAsia="Calibri" w:hAnsi="Arial"/>
          <w:b/>
          <w:bCs/>
          <w:sz w:val="24"/>
          <w:rtl/>
        </w:rPr>
      </w:pPr>
      <w:r w:rsidRPr="00A72FDC">
        <w:rPr>
          <w:rFonts w:ascii="Arial" w:eastAsia="Calibri" w:hAnsi="Arial" w:hint="cs"/>
          <w:b/>
          <w:bCs/>
          <w:sz w:val="24"/>
          <w:rtl/>
        </w:rPr>
        <w:t>בית הדין קבע, כי הוכח בצורה מספקת שהתובע הוא זה שביצע את העבודה וכי היא אכן אותנטית. לפיכך, אושרה זכאותו לשקילת תואר דוקטור וזכאותו להטבות בהתאם. למשרד החינוך נפסקו הוצאות בסך 5,000 ₪.</w:t>
      </w:r>
    </w:p>
    <w:p w:rsidR="000118BE" w:rsidRPr="00A72FDC" w:rsidRDefault="000118BE" w:rsidP="00A8553B">
      <w:pPr>
        <w:tabs>
          <w:tab w:val="left" w:pos="44"/>
        </w:tabs>
        <w:bidi/>
        <w:spacing w:line="360" w:lineRule="auto"/>
        <w:ind w:left="44"/>
        <w:jc w:val="both"/>
        <w:rPr>
          <w:rFonts w:ascii="David" w:eastAsia="Calibri" w:hAnsi="David"/>
          <w:color w:val="000000"/>
          <w:sz w:val="22"/>
          <w:szCs w:val="22"/>
          <w:highlight w:val="yellow"/>
          <w:rtl/>
        </w:rPr>
      </w:pPr>
      <w:r w:rsidRPr="00A72FDC">
        <w:rPr>
          <w:color w:val="000000"/>
          <w:sz w:val="22"/>
          <w:szCs w:val="22"/>
          <w:rtl/>
        </w:rPr>
        <w:t>ס"ע 14513-07-11</w:t>
      </w:r>
      <w:r w:rsidRPr="00A72FDC">
        <w:rPr>
          <w:color w:val="FF0000"/>
          <w:sz w:val="22"/>
          <w:szCs w:val="22"/>
        </w:rPr>
        <w:t>●</w:t>
      </w:r>
      <w:r w:rsidRPr="00A72FDC">
        <w:rPr>
          <w:sz w:val="22"/>
          <w:szCs w:val="22"/>
        </w:rPr>
        <w:t xml:space="preserve"> </w:t>
      </w:r>
      <w:r w:rsidRPr="00A72FDC">
        <w:rPr>
          <w:rFonts w:hint="cs"/>
          <w:b/>
          <w:bCs/>
          <w:sz w:val="22"/>
          <w:szCs w:val="22"/>
          <w:rtl/>
        </w:rPr>
        <w:t xml:space="preserve"> </w:t>
      </w:r>
      <w:r w:rsidRPr="008469B5">
        <w:rPr>
          <w:rFonts w:hint="cs"/>
          <w:b/>
          <w:bCs/>
          <w:color w:val="FF0000"/>
          <w:sz w:val="22"/>
          <w:szCs w:val="22"/>
          <w:rtl/>
        </w:rPr>
        <w:t>עלי ח'ריב נ' משרד החינוך</w:t>
      </w:r>
      <w:r w:rsidRPr="008469B5">
        <w:rPr>
          <w:rFonts w:hint="cs"/>
          <w:color w:val="FF0000"/>
          <w:sz w:val="22"/>
          <w:szCs w:val="22"/>
          <w:rtl/>
        </w:rPr>
        <w:t xml:space="preserve"> </w:t>
      </w:r>
      <w:r w:rsidRPr="00A72FDC">
        <w:rPr>
          <w:rFonts w:hint="cs"/>
          <w:sz w:val="22"/>
          <w:szCs w:val="22"/>
          <w:rtl/>
        </w:rPr>
        <w:t xml:space="preserve">(21.10.13) </w:t>
      </w:r>
      <w:r w:rsidRPr="00A72FDC">
        <w:rPr>
          <w:sz w:val="22"/>
          <w:szCs w:val="22"/>
        </w:rPr>
        <w:t xml:space="preserve"> </w:t>
      </w:r>
      <w:r w:rsidRPr="00A72FDC">
        <w:rPr>
          <w:color w:val="FF0000"/>
          <w:sz w:val="22"/>
          <w:szCs w:val="22"/>
        </w:rPr>
        <w:t>●</w:t>
      </w:r>
      <w:r w:rsidRPr="00A72FDC">
        <w:rPr>
          <w:rFonts w:hint="cs"/>
          <w:sz w:val="22"/>
          <w:szCs w:val="22"/>
          <w:rtl/>
        </w:rPr>
        <w:t>בפני כבוד השופטת עידית איצקוביץ, נ.מ. מר ישראל שוטלנד, נ.ע. מר ראובן גרובר</w:t>
      </w:r>
    </w:p>
    <w:p w:rsidR="00A45577" w:rsidRDefault="00A45577" w:rsidP="00A45577">
      <w:pPr>
        <w:tabs>
          <w:tab w:val="left" w:pos="44"/>
        </w:tabs>
        <w:bidi/>
        <w:spacing w:line="360" w:lineRule="auto"/>
        <w:ind w:left="44"/>
        <w:jc w:val="both"/>
        <w:outlineLvl w:val="2"/>
        <w:rPr>
          <w:rFonts w:ascii="David" w:hAnsi="David"/>
          <w:b/>
          <w:bCs/>
          <w:color w:val="FF0000"/>
          <w:sz w:val="32"/>
          <w:szCs w:val="26"/>
          <w:u w:val="single"/>
          <w:rtl/>
        </w:rPr>
      </w:pPr>
    </w:p>
    <w:p w:rsidR="000118BE" w:rsidRPr="00BD3500" w:rsidRDefault="000118BE" w:rsidP="00A8553B">
      <w:pPr>
        <w:pStyle w:val="2"/>
        <w:rPr>
          <w:color w:val="0000FF"/>
        </w:rPr>
      </w:pPr>
      <w:bookmarkStart w:id="92" w:name="_Toc383587169"/>
      <w:bookmarkStart w:id="93" w:name="_Toc383587374"/>
      <w:bookmarkStart w:id="94" w:name="_Toc383587816"/>
      <w:r w:rsidRPr="00BD3500">
        <w:rPr>
          <w:rFonts w:hint="cs"/>
          <w:color w:val="0000FF"/>
          <w:rtl/>
        </w:rPr>
        <w:t>משפט מנהלי</w:t>
      </w:r>
      <w:bookmarkEnd w:id="92"/>
      <w:bookmarkEnd w:id="93"/>
      <w:bookmarkEnd w:id="94"/>
    </w:p>
    <w:p w:rsidR="000118BE" w:rsidRDefault="000118BE" w:rsidP="008F590E">
      <w:pPr>
        <w:bidi/>
        <w:jc w:val="both"/>
        <w:outlineLvl w:val="1"/>
        <w:rPr>
          <w:rFonts w:ascii="David" w:hAnsi="David"/>
          <w:b/>
          <w:bCs/>
          <w:sz w:val="36"/>
          <w:szCs w:val="30"/>
          <w:u w:val="single"/>
        </w:rPr>
      </w:pPr>
    </w:p>
    <w:p w:rsidR="000118BE" w:rsidRPr="00D37D65" w:rsidRDefault="000118BE" w:rsidP="004F692C">
      <w:pPr>
        <w:pStyle w:val="af7"/>
        <w:numPr>
          <w:ilvl w:val="0"/>
          <w:numId w:val="49"/>
        </w:numPr>
        <w:bidi/>
        <w:spacing w:line="360" w:lineRule="auto"/>
        <w:jc w:val="both"/>
        <w:outlineLvl w:val="2"/>
        <w:rPr>
          <w:rFonts w:ascii="David" w:hAnsi="David"/>
          <w:b/>
          <w:bCs/>
          <w:color w:val="FF0000"/>
          <w:sz w:val="32"/>
          <w:szCs w:val="26"/>
          <w:u w:val="single"/>
        </w:rPr>
      </w:pPr>
      <w:bookmarkStart w:id="95" w:name="_Toc383587170"/>
      <w:bookmarkStart w:id="96" w:name="_Toc383587375"/>
      <w:bookmarkStart w:id="97" w:name="_Toc383587817"/>
      <w:r w:rsidRPr="00D37D65">
        <w:rPr>
          <w:rFonts w:ascii="David" w:hAnsi="David" w:hint="cs"/>
          <w:b/>
          <w:bCs/>
          <w:color w:val="FF0000"/>
          <w:sz w:val="32"/>
          <w:szCs w:val="26"/>
          <w:u w:val="single"/>
          <w:rtl/>
        </w:rPr>
        <w:t>מינויים</w:t>
      </w:r>
      <w:bookmarkEnd w:id="95"/>
      <w:bookmarkEnd w:id="96"/>
      <w:bookmarkEnd w:id="97"/>
    </w:p>
    <w:p w:rsidR="000118BE" w:rsidRPr="00BD3500" w:rsidRDefault="000118BE" w:rsidP="008F590E">
      <w:pPr>
        <w:bidi/>
        <w:ind w:left="360"/>
        <w:jc w:val="both"/>
        <w:outlineLvl w:val="2"/>
        <w:rPr>
          <w:rFonts w:ascii="David" w:hAnsi="David"/>
          <w:b/>
          <w:bCs/>
          <w:color w:val="0000FF"/>
          <w:sz w:val="32"/>
          <w:szCs w:val="26"/>
          <w:u w:val="single"/>
        </w:rPr>
      </w:pPr>
    </w:p>
    <w:p w:rsidR="000118BE" w:rsidRPr="00BD3500" w:rsidRDefault="000118BE" w:rsidP="004F692C">
      <w:pPr>
        <w:pStyle w:val="af7"/>
        <w:numPr>
          <w:ilvl w:val="0"/>
          <w:numId w:val="51"/>
        </w:numPr>
        <w:tabs>
          <w:tab w:val="left" w:pos="-334"/>
        </w:tabs>
        <w:bidi/>
        <w:spacing w:line="360" w:lineRule="auto"/>
        <w:jc w:val="both"/>
        <w:rPr>
          <w:rFonts w:ascii="Arial" w:hAnsi="Arial"/>
          <w:b/>
          <w:bCs/>
          <w:color w:val="0000FF"/>
          <w:sz w:val="24"/>
          <w:u w:val="single"/>
          <w:rtl/>
        </w:rPr>
      </w:pPr>
      <w:r w:rsidRPr="00BD3500">
        <w:rPr>
          <w:rFonts w:ascii="Arial" w:hAnsi="Arial" w:hint="cs"/>
          <w:b/>
          <w:bCs/>
          <w:color w:val="0000FF"/>
          <w:sz w:val="24"/>
          <w:u w:val="single"/>
          <w:rtl/>
        </w:rPr>
        <w:t>תקדים- אכיפת מינוי מנכ"ל חברה ממשלתית על דירקטוריון נגוע בשיקול פוליטי</w:t>
      </w:r>
    </w:p>
    <w:p w:rsidR="000118BE" w:rsidRPr="008F590E" w:rsidRDefault="000118BE" w:rsidP="008F590E">
      <w:pPr>
        <w:bidi/>
        <w:ind w:left="360"/>
        <w:jc w:val="both"/>
        <w:outlineLvl w:val="2"/>
        <w:rPr>
          <w:rFonts w:ascii="David" w:hAnsi="David"/>
          <w:b/>
          <w:bCs/>
          <w:color w:val="FF0000"/>
          <w:sz w:val="32"/>
          <w:szCs w:val="26"/>
          <w:u w:val="single"/>
          <w:rtl/>
        </w:rPr>
      </w:pPr>
    </w:p>
    <w:p w:rsidR="000118BE" w:rsidRPr="008262E5" w:rsidRDefault="000118BE" w:rsidP="00A8553B">
      <w:pPr>
        <w:tabs>
          <w:tab w:val="left" w:pos="44"/>
        </w:tabs>
        <w:bidi/>
        <w:spacing w:line="360" w:lineRule="auto"/>
        <w:ind w:left="44"/>
        <w:jc w:val="both"/>
        <w:outlineLvl w:val="2"/>
        <w:rPr>
          <w:b/>
          <w:bCs/>
          <w:sz w:val="24"/>
          <w:rtl/>
        </w:rPr>
      </w:pPr>
      <w:bookmarkStart w:id="98" w:name="_Toc383587171"/>
      <w:bookmarkStart w:id="99" w:name="_Toc383587376"/>
      <w:bookmarkStart w:id="100" w:name="_Toc383587818"/>
      <w:r w:rsidRPr="008262E5">
        <w:rPr>
          <w:rFonts w:hint="cs"/>
          <w:b/>
          <w:bCs/>
          <w:sz w:val="24"/>
          <w:rtl/>
        </w:rPr>
        <w:t>בית הדין האזורי לעבודה קיבל תביעת מועמד לתפקיד מנכ"ל</w:t>
      </w:r>
      <w:r w:rsidRPr="008262E5">
        <w:rPr>
          <w:b/>
          <w:bCs/>
          <w:sz w:val="24"/>
          <w:rtl/>
        </w:rPr>
        <w:t xml:space="preserve"> למתן צו הצהרתי</w:t>
      </w:r>
      <w:r w:rsidRPr="008262E5">
        <w:rPr>
          <w:rFonts w:hint="cs"/>
          <w:b/>
          <w:bCs/>
          <w:sz w:val="24"/>
          <w:rtl/>
        </w:rPr>
        <w:t>,</w:t>
      </w:r>
      <w:r w:rsidRPr="008262E5">
        <w:rPr>
          <w:b/>
          <w:bCs/>
          <w:sz w:val="24"/>
          <w:rtl/>
        </w:rPr>
        <w:t xml:space="preserve"> המורה לדירקטוריון </w:t>
      </w:r>
      <w:r w:rsidRPr="008262E5">
        <w:rPr>
          <w:rFonts w:hint="cs"/>
          <w:b/>
          <w:bCs/>
          <w:sz w:val="24"/>
          <w:rtl/>
        </w:rPr>
        <w:t xml:space="preserve">חברת אוצר מפעלי ים בע"מ </w:t>
      </w:r>
      <w:r w:rsidRPr="008262E5">
        <w:rPr>
          <w:b/>
          <w:bCs/>
          <w:sz w:val="24"/>
          <w:rtl/>
        </w:rPr>
        <w:t>למנות</w:t>
      </w:r>
      <w:r w:rsidRPr="008262E5">
        <w:rPr>
          <w:rFonts w:hint="cs"/>
          <w:b/>
          <w:bCs/>
          <w:sz w:val="24"/>
          <w:rtl/>
        </w:rPr>
        <w:t xml:space="preserve">ו למנכ"ל, בטענה כי </w:t>
      </w:r>
      <w:r w:rsidRPr="008262E5">
        <w:rPr>
          <w:b/>
          <w:bCs/>
          <w:sz w:val="24"/>
          <w:rtl/>
        </w:rPr>
        <w:t xml:space="preserve">ההחלטה להימנע ממינויו לאחר שעמד בהצלחה בהליכי מיון ארוכים נגועה </w:t>
      </w:r>
      <w:r w:rsidRPr="008262E5">
        <w:rPr>
          <w:rFonts w:hint="cs"/>
          <w:b/>
          <w:bCs/>
          <w:sz w:val="24"/>
          <w:rtl/>
        </w:rPr>
        <w:t>בשיקולים זרים</w:t>
      </w:r>
      <w:r w:rsidRPr="008262E5">
        <w:rPr>
          <w:b/>
          <w:bCs/>
          <w:sz w:val="24"/>
          <w:rtl/>
        </w:rPr>
        <w:t>.</w:t>
      </w:r>
      <w:bookmarkEnd w:id="98"/>
      <w:bookmarkEnd w:id="99"/>
      <w:bookmarkEnd w:id="100"/>
    </w:p>
    <w:p w:rsidR="000118BE" w:rsidRPr="008262E5" w:rsidRDefault="000118BE" w:rsidP="00A8553B">
      <w:pPr>
        <w:tabs>
          <w:tab w:val="left" w:pos="44"/>
        </w:tabs>
        <w:bidi/>
        <w:spacing w:line="360" w:lineRule="auto"/>
        <w:ind w:left="44"/>
        <w:jc w:val="both"/>
        <w:outlineLvl w:val="2"/>
        <w:rPr>
          <w:b/>
          <w:bCs/>
          <w:sz w:val="24"/>
          <w:rtl/>
        </w:rPr>
      </w:pPr>
      <w:bookmarkStart w:id="101" w:name="_Toc383587172"/>
      <w:bookmarkStart w:id="102" w:name="_Toc383587377"/>
      <w:bookmarkStart w:id="103" w:name="_Toc383587819"/>
      <w:r w:rsidRPr="008262E5">
        <w:rPr>
          <w:rFonts w:hint="cs"/>
          <w:b/>
          <w:bCs/>
          <w:sz w:val="24"/>
          <w:rtl/>
        </w:rPr>
        <w:t xml:space="preserve">בית הדין פסק, כי </w:t>
      </w:r>
      <w:r w:rsidRPr="008262E5">
        <w:rPr>
          <w:b/>
          <w:bCs/>
          <w:sz w:val="24"/>
          <w:rtl/>
        </w:rPr>
        <w:t>בחינת מכלול נסיבות העניין מעלה חשד סביר וממשי בדבר קיומו של מניע פוליטי פסול בהחלטה להימנע ממינויו של התובע</w:t>
      </w:r>
      <w:r w:rsidRPr="008262E5">
        <w:rPr>
          <w:rFonts w:hint="cs"/>
          <w:b/>
          <w:bCs/>
          <w:sz w:val="24"/>
          <w:rtl/>
        </w:rPr>
        <w:t xml:space="preserve">. </w:t>
      </w:r>
      <w:r w:rsidRPr="008262E5">
        <w:rPr>
          <w:b/>
          <w:bCs/>
          <w:sz w:val="24"/>
          <w:rtl/>
        </w:rPr>
        <w:t xml:space="preserve">משהוכח ספק מהותי כזה, עובר נטל הראיה על </w:t>
      </w:r>
      <w:r w:rsidRPr="008262E5">
        <w:rPr>
          <w:rFonts w:hint="cs"/>
          <w:b/>
          <w:bCs/>
          <w:sz w:val="24"/>
          <w:rtl/>
        </w:rPr>
        <w:t>הממנה</w:t>
      </w:r>
      <w:r w:rsidRPr="008262E5">
        <w:rPr>
          <w:b/>
          <w:bCs/>
          <w:sz w:val="24"/>
          <w:rtl/>
        </w:rPr>
        <w:t>, ועליו להוכיח שאין בהחלטה שיקול פסול.</w:t>
      </w:r>
      <w:r w:rsidRPr="008262E5">
        <w:rPr>
          <w:rFonts w:hint="cs"/>
          <w:b/>
          <w:bCs/>
          <w:sz w:val="24"/>
          <w:rtl/>
        </w:rPr>
        <w:t xml:space="preserve"> </w:t>
      </w:r>
      <w:r w:rsidRPr="008262E5">
        <w:rPr>
          <w:b/>
          <w:bCs/>
          <w:sz w:val="24"/>
          <w:rtl/>
        </w:rPr>
        <w:t>מדובר במועמד ש</w:t>
      </w:r>
      <w:r w:rsidRPr="008262E5">
        <w:rPr>
          <w:rFonts w:hint="cs"/>
          <w:b/>
          <w:bCs/>
          <w:sz w:val="24"/>
          <w:rtl/>
        </w:rPr>
        <w:t>למרות ש</w:t>
      </w:r>
      <w:r w:rsidRPr="008262E5">
        <w:rPr>
          <w:b/>
          <w:bCs/>
          <w:sz w:val="24"/>
          <w:rtl/>
        </w:rPr>
        <w:t>עבר הליכי מיון ארוכים ונמצא כשיר לתפקיד</w:t>
      </w:r>
      <w:r w:rsidRPr="008262E5">
        <w:rPr>
          <w:rFonts w:hint="cs"/>
          <w:b/>
          <w:bCs/>
          <w:sz w:val="24"/>
          <w:rtl/>
        </w:rPr>
        <w:t xml:space="preserve"> מנכ"ל</w:t>
      </w:r>
      <w:r w:rsidRPr="008262E5">
        <w:rPr>
          <w:b/>
          <w:bCs/>
          <w:sz w:val="24"/>
          <w:rtl/>
        </w:rPr>
        <w:t>, הדירקטוריון נמנע מלמנותו על יסוד "התרשמות"</w:t>
      </w:r>
      <w:r w:rsidRPr="008262E5">
        <w:rPr>
          <w:rFonts w:hint="cs"/>
          <w:b/>
          <w:bCs/>
          <w:sz w:val="24"/>
          <w:rtl/>
        </w:rPr>
        <w:t xml:space="preserve"> בלבד,</w:t>
      </w:r>
      <w:r w:rsidRPr="008262E5">
        <w:rPr>
          <w:b/>
          <w:bCs/>
          <w:sz w:val="24"/>
          <w:rtl/>
        </w:rPr>
        <w:t xml:space="preserve"> מבלי שטרח לקיים </w:t>
      </w:r>
      <w:r w:rsidRPr="008262E5">
        <w:rPr>
          <w:b/>
          <w:bCs/>
          <w:sz w:val="24"/>
          <w:rtl/>
        </w:rPr>
        <w:lastRenderedPageBreak/>
        <w:t>כל בדיקה של ממש ביחס לכישוריו</w:t>
      </w:r>
      <w:r w:rsidRPr="008262E5">
        <w:rPr>
          <w:rFonts w:hint="cs"/>
          <w:b/>
          <w:bCs/>
          <w:sz w:val="24"/>
          <w:rtl/>
        </w:rPr>
        <w:t xml:space="preserve"> ולאישיותו</w:t>
      </w:r>
      <w:r w:rsidRPr="008262E5">
        <w:rPr>
          <w:b/>
          <w:bCs/>
          <w:sz w:val="24"/>
          <w:rtl/>
        </w:rPr>
        <w:t xml:space="preserve"> </w:t>
      </w:r>
      <w:r w:rsidRPr="008262E5">
        <w:rPr>
          <w:rFonts w:hint="cs"/>
          <w:b/>
          <w:bCs/>
          <w:sz w:val="24"/>
          <w:rtl/>
        </w:rPr>
        <w:t>ו</w:t>
      </w:r>
      <w:r w:rsidRPr="008262E5">
        <w:rPr>
          <w:b/>
          <w:bCs/>
          <w:sz w:val="24"/>
          <w:rtl/>
        </w:rPr>
        <w:t>לא נעשתה פניה לממליצים</w:t>
      </w:r>
      <w:r w:rsidRPr="008262E5">
        <w:rPr>
          <w:rFonts w:hint="cs"/>
          <w:b/>
          <w:bCs/>
          <w:sz w:val="24"/>
          <w:rtl/>
        </w:rPr>
        <w:t>. אלה תומכים במסקנה כי המטרה הייתה להכשיל את מינויו. בית הדין פסק, כי באיזון שבין האינטרס הציבורי במלחמה בנגע המינויים הפוליטיים, לבין האינטרס של הנתבעת להשאיר בידי הדירקטוריון את הסמכות למנות מנכ"ל כראות עיניו, ידו של האינטרס הציבורי על העליונה, ומינויו של התובע יאכף. התנהלות התובע, אשר סירב להיכנע לפרקטיקת המינויים הפוליטיים, הציג את מועמדותו למשרת מנכ"ל חברה ממשלתית ועמד על זכותו להתמודד למשרה באופן שוויוני, תוך ששילם מחיר אישי כבד, לרבות בחשש לפגיעה בשמו הטוב, היא התנהלות שכמותה יש לעודד. נפסק, כי הנתבעת תעביר את מועמדותו של התובע לתפקיד מנכ"ל החברה לאישור רשות החברות ותישא בהוצאות משפט בסך 30,000₪.</w:t>
      </w:r>
      <w:bookmarkEnd w:id="101"/>
      <w:bookmarkEnd w:id="102"/>
      <w:bookmarkEnd w:id="103"/>
      <w:r w:rsidRPr="008262E5">
        <w:rPr>
          <w:rFonts w:hint="cs"/>
          <w:b/>
          <w:bCs/>
          <w:sz w:val="24"/>
          <w:rtl/>
        </w:rPr>
        <w:t xml:space="preserve"> </w:t>
      </w:r>
    </w:p>
    <w:p w:rsidR="000118BE" w:rsidRDefault="000118BE" w:rsidP="00A8553B">
      <w:pPr>
        <w:tabs>
          <w:tab w:val="left" w:pos="44"/>
        </w:tabs>
        <w:bidi/>
        <w:spacing w:line="360" w:lineRule="auto"/>
        <w:ind w:left="44"/>
        <w:jc w:val="both"/>
        <w:outlineLvl w:val="2"/>
        <w:rPr>
          <w:rFonts w:ascii="David" w:hAnsi="David"/>
          <w:b/>
          <w:bCs/>
          <w:color w:val="FF0000"/>
          <w:sz w:val="32"/>
          <w:szCs w:val="26"/>
          <w:u w:val="single"/>
          <w:rtl/>
        </w:rPr>
      </w:pPr>
      <w:bookmarkStart w:id="104" w:name="_Toc383587173"/>
      <w:bookmarkStart w:id="105" w:name="_Toc383587378"/>
      <w:bookmarkStart w:id="106" w:name="_Toc383587820"/>
      <w:r w:rsidRPr="00BD1CC0">
        <w:rPr>
          <w:rFonts w:ascii="David" w:hAnsi="David" w:hint="cs"/>
          <w:sz w:val="22"/>
          <w:szCs w:val="22"/>
          <w:rtl/>
        </w:rPr>
        <w:t>פ"ה</w:t>
      </w:r>
      <w:r w:rsidRPr="00BD1CC0">
        <w:rPr>
          <w:rFonts w:ascii="David" w:hAnsi="David"/>
          <w:sz w:val="22"/>
          <w:szCs w:val="22"/>
          <w:rtl/>
        </w:rPr>
        <w:t xml:space="preserve"> (ת"א) </w:t>
      </w:r>
      <w:r w:rsidRPr="00BD1CC0">
        <w:rPr>
          <w:rFonts w:ascii="David" w:hAnsi="David" w:hint="cs"/>
          <w:sz w:val="22"/>
          <w:szCs w:val="22"/>
          <w:rtl/>
        </w:rPr>
        <w:t>7634-03-13</w:t>
      </w:r>
      <w:r w:rsidRPr="00BD1CC0">
        <w:rPr>
          <w:rFonts w:hint="cs"/>
          <w:sz w:val="22"/>
          <w:szCs w:val="22"/>
          <w:rtl/>
        </w:rPr>
        <w:t xml:space="preserve"> </w:t>
      </w:r>
      <w:r w:rsidRPr="008262E5">
        <w:rPr>
          <w:color w:val="FF0000"/>
          <w:sz w:val="22"/>
          <w:szCs w:val="22"/>
        </w:rPr>
        <w:t>●</w:t>
      </w:r>
      <w:r w:rsidRPr="00BD1CC0">
        <w:rPr>
          <w:rFonts w:ascii="David" w:hAnsi="David" w:hint="cs"/>
          <w:sz w:val="22"/>
          <w:szCs w:val="22"/>
          <w:rtl/>
        </w:rPr>
        <w:t xml:space="preserve"> </w:t>
      </w:r>
      <w:r w:rsidRPr="008469B5">
        <w:rPr>
          <w:rFonts w:ascii="David" w:hAnsi="David" w:hint="cs"/>
          <w:b/>
          <w:bCs/>
          <w:color w:val="FF0000"/>
          <w:sz w:val="22"/>
          <w:szCs w:val="22"/>
          <w:rtl/>
        </w:rPr>
        <w:t>אריאל זילבר</w:t>
      </w:r>
      <w:r w:rsidRPr="008469B5">
        <w:rPr>
          <w:rFonts w:ascii="David" w:hAnsi="David"/>
          <w:b/>
          <w:bCs/>
          <w:color w:val="FF0000"/>
          <w:sz w:val="22"/>
          <w:szCs w:val="22"/>
          <w:rtl/>
        </w:rPr>
        <w:t xml:space="preserve"> נ' </w:t>
      </w:r>
      <w:r w:rsidRPr="008469B5">
        <w:rPr>
          <w:rFonts w:ascii="David" w:hAnsi="David" w:hint="cs"/>
          <w:b/>
          <w:bCs/>
          <w:color w:val="FF0000"/>
          <w:sz w:val="22"/>
          <w:szCs w:val="22"/>
          <w:rtl/>
        </w:rPr>
        <w:t xml:space="preserve">אוצר מפעלי ים בע"מ </w:t>
      </w:r>
      <w:r w:rsidRPr="008469B5">
        <w:rPr>
          <w:rFonts w:ascii="David" w:hAnsi="David" w:hint="cs"/>
          <w:color w:val="FF0000"/>
          <w:sz w:val="22"/>
          <w:szCs w:val="22"/>
          <w:rtl/>
        </w:rPr>
        <w:t xml:space="preserve"> </w:t>
      </w:r>
      <w:r w:rsidRPr="00BD1CC0">
        <w:rPr>
          <w:rFonts w:ascii="David" w:hAnsi="David" w:hint="cs"/>
          <w:sz w:val="22"/>
          <w:szCs w:val="22"/>
          <w:rtl/>
        </w:rPr>
        <w:t>(16.7.13)</w:t>
      </w:r>
      <w:r w:rsidRPr="00BD1CC0">
        <w:rPr>
          <w:rFonts w:hint="cs"/>
          <w:sz w:val="22"/>
          <w:szCs w:val="22"/>
          <w:rtl/>
        </w:rPr>
        <w:t xml:space="preserve"> </w:t>
      </w:r>
      <w:r w:rsidRPr="00BD1CC0">
        <w:rPr>
          <w:sz w:val="22"/>
          <w:szCs w:val="22"/>
        </w:rPr>
        <w:t xml:space="preserve"> </w:t>
      </w:r>
      <w:r w:rsidRPr="008262E5">
        <w:rPr>
          <w:color w:val="FF0000"/>
          <w:sz w:val="22"/>
          <w:szCs w:val="22"/>
        </w:rPr>
        <w:t>●</w:t>
      </w:r>
      <w:r w:rsidRPr="00BD1CC0">
        <w:rPr>
          <w:rFonts w:ascii="David" w:hAnsi="David" w:hint="cs"/>
          <w:sz w:val="22"/>
          <w:szCs w:val="22"/>
          <w:rtl/>
        </w:rPr>
        <w:t xml:space="preserve">בפני כבוד השופטת </w:t>
      </w:r>
      <w:r w:rsidRPr="00BD1CC0">
        <w:rPr>
          <w:rFonts w:ascii="David" w:hAnsi="David"/>
          <w:sz w:val="22"/>
          <w:szCs w:val="22"/>
          <w:rtl/>
        </w:rPr>
        <w:t>–</w:t>
      </w:r>
      <w:r w:rsidRPr="00BD1CC0">
        <w:rPr>
          <w:rFonts w:ascii="David" w:hAnsi="David" w:hint="cs"/>
          <w:sz w:val="22"/>
          <w:szCs w:val="22"/>
          <w:rtl/>
        </w:rPr>
        <w:t xml:space="preserve"> אב"ד אופירה דגן-טוכמכר, נ.ע. הגב' יוכבד הוכמן שוורץ, נ.מ. מר עמנואל סלע</w:t>
      </w:r>
      <w:bookmarkEnd w:id="104"/>
      <w:bookmarkEnd w:id="105"/>
      <w:bookmarkEnd w:id="106"/>
    </w:p>
    <w:p w:rsidR="000118BE" w:rsidRPr="00BD3500" w:rsidRDefault="000118BE" w:rsidP="00A8553B">
      <w:pPr>
        <w:tabs>
          <w:tab w:val="left" w:pos="44"/>
        </w:tabs>
        <w:bidi/>
        <w:spacing w:line="360" w:lineRule="auto"/>
        <w:ind w:left="44"/>
        <w:jc w:val="both"/>
        <w:outlineLvl w:val="2"/>
        <w:rPr>
          <w:rFonts w:ascii="David" w:hAnsi="David"/>
          <w:b/>
          <w:bCs/>
          <w:color w:val="0000FF"/>
          <w:sz w:val="32"/>
          <w:szCs w:val="26"/>
          <w:u w:val="single"/>
          <w:rtl/>
        </w:rPr>
      </w:pPr>
    </w:p>
    <w:p w:rsidR="000118BE" w:rsidRPr="00BD3500" w:rsidRDefault="000118BE" w:rsidP="00A8553B">
      <w:pPr>
        <w:pStyle w:val="2"/>
        <w:rPr>
          <w:color w:val="0000FF"/>
        </w:rPr>
      </w:pPr>
      <w:bookmarkStart w:id="107" w:name="_Toc228152693"/>
      <w:bookmarkStart w:id="108" w:name="_Toc383530629"/>
      <w:bookmarkStart w:id="109" w:name="_Toc383587174"/>
      <w:bookmarkStart w:id="110" w:name="_Toc383587379"/>
      <w:bookmarkStart w:id="111" w:name="_Toc383587821"/>
      <w:r w:rsidRPr="00BD3500">
        <w:rPr>
          <w:rFonts w:hint="cs"/>
          <w:color w:val="0000FF"/>
          <w:rtl/>
        </w:rPr>
        <w:t>אפליה בעבודה</w:t>
      </w:r>
      <w:bookmarkEnd w:id="107"/>
      <w:bookmarkEnd w:id="108"/>
      <w:bookmarkEnd w:id="109"/>
      <w:bookmarkEnd w:id="110"/>
      <w:bookmarkEnd w:id="111"/>
    </w:p>
    <w:p w:rsidR="000118BE" w:rsidRPr="009F7485" w:rsidRDefault="000118BE" w:rsidP="008F590E">
      <w:pPr>
        <w:bidi/>
        <w:jc w:val="both"/>
        <w:outlineLvl w:val="1"/>
        <w:rPr>
          <w:rFonts w:ascii="David" w:hAnsi="David"/>
          <w:b/>
          <w:bCs/>
          <w:sz w:val="36"/>
          <w:szCs w:val="30"/>
          <w:u w:val="single"/>
        </w:rPr>
      </w:pPr>
      <w:r>
        <w:rPr>
          <w:rFonts w:ascii="David" w:hAnsi="David"/>
          <w:b/>
          <w:bCs/>
          <w:sz w:val="36"/>
          <w:szCs w:val="30"/>
          <w:u w:val="single"/>
        </w:rPr>
        <w:fldChar w:fldCharType="begin"/>
      </w:r>
      <w:r w:rsidRPr="00AB2927">
        <w:rPr>
          <w:rFonts w:ascii="David" w:hAnsi="David"/>
          <w:b/>
          <w:bCs/>
          <w:sz w:val="36"/>
          <w:szCs w:val="30"/>
          <w:u w:val="single"/>
        </w:rPr>
        <w:instrText xml:space="preserve"> TC "</w:instrText>
      </w:r>
      <w:bookmarkStart w:id="112" w:name="_Toc228528540"/>
      <w:r w:rsidRPr="0050390D">
        <w:rPr>
          <w:rFonts w:ascii="David" w:hAnsi="David" w:hint="cs"/>
          <w:b/>
          <w:bCs/>
          <w:sz w:val="36"/>
          <w:szCs w:val="30"/>
          <w:u w:val="single"/>
          <w:rtl/>
        </w:rPr>
        <w:instrText>אפליה בעבודה</w:instrText>
      </w:r>
      <w:bookmarkEnd w:id="112"/>
      <w:r w:rsidRPr="00AB2927">
        <w:rPr>
          <w:rFonts w:ascii="David" w:hAnsi="David"/>
          <w:b/>
          <w:bCs/>
          <w:sz w:val="36"/>
          <w:szCs w:val="30"/>
          <w:u w:val="single"/>
        </w:rPr>
        <w:instrText xml:space="preserve">" \f C \l "1" </w:instrText>
      </w:r>
      <w:r>
        <w:rPr>
          <w:rFonts w:ascii="David" w:hAnsi="David"/>
          <w:b/>
          <w:bCs/>
          <w:sz w:val="36"/>
          <w:szCs w:val="30"/>
          <w:u w:val="single"/>
        </w:rPr>
        <w:fldChar w:fldCharType="end"/>
      </w:r>
    </w:p>
    <w:p w:rsidR="000118BE" w:rsidRDefault="000118BE" w:rsidP="00A8553B">
      <w:pPr>
        <w:numPr>
          <w:ilvl w:val="0"/>
          <w:numId w:val="10"/>
        </w:numPr>
        <w:bidi/>
        <w:spacing w:line="360" w:lineRule="auto"/>
        <w:jc w:val="both"/>
        <w:outlineLvl w:val="2"/>
        <w:rPr>
          <w:rFonts w:ascii="David" w:hAnsi="David"/>
          <w:b/>
          <w:bCs/>
          <w:color w:val="FF0000"/>
          <w:sz w:val="32"/>
          <w:szCs w:val="26"/>
          <w:u w:val="single"/>
        </w:rPr>
      </w:pPr>
      <w:bookmarkStart w:id="113" w:name="_Toc228152694"/>
      <w:bookmarkStart w:id="114" w:name="_Toc383530630"/>
      <w:bookmarkStart w:id="115" w:name="_Toc383587175"/>
      <w:bookmarkStart w:id="116" w:name="_Toc383587380"/>
      <w:bookmarkStart w:id="117" w:name="_Toc383587822"/>
      <w:r>
        <w:rPr>
          <w:rFonts w:ascii="David" w:hAnsi="David" w:hint="cs"/>
          <w:b/>
          <w:bCs/>
          <w:color w:val="FF0000"/>
          <w:sz w:val="32"/>
          <w:szCs w:val="26"/>
          <w:u w:val="single"/>
          <w:rtl/>
        </w:rPr>
        <w:t>פיטורי עובדת בהריון/טיפולי פוריות</w:t>
      </w:r>
      <w:bookmarkEnd w:id="113"/>
      <w:bookmarkEnd w:id="114"/>
      <w:bookmarkEnd w:id="115"/>
      <w:bookmarkEnd w:id="116"/>
      <w:bookmarkEnd w:id="117"/>
    </w:p>
    <w:p w:rsidR="000118BE" w:rsidRPr="00BD3500" w:rsidRDefault="000118BE" w:rsidP="008F590E">
      <w:pPr>
        <w:bidi/>
        <w:jc w:val="both"/>
        <w:outlineLvl w:val="1"/>
        <w:rPr>
          <w:rFonts w:ascii="David" w:hAnsi="David"/>
          <w:b/>
          <w:bCs/>
          <w:color w:val="0000FF"/>
          <w:sz w:val="32"/>
          <w:szCs w:val="26"/>
          <w:u w:val="single"/>
        </w:rPr>
      </w:pPr>
    </w:p>
    <w:p w:rsidR="000118BE" w:rsidRPr="00BD3500" w:rsidRDefault="000118BE" w:rsidP="00A8553B">
      <w:pPr>
        <w:numPr>
          <w:ilvl w:val="0"/>
          <w:numId w:val="18"/>
        </w:numPr>
        <w:tabs>
          <w:tab w:val="left" w:pos="70"/>
        </w:tabs>
        <w:bidi/>
        <w:spacing w:line="360" w:lineRule="auto"/>
        <w:ind w:hanging="496"/>
        <w:jc w:val="both"/>
        <w:rPr>
          <w:rFonts w:cs="FrankRuehl"/>
          <w:b/>
          <w:bCs/>
          <w:color w:val="0000FF"/>
          <w:sz w:val="24"/>
        </w:rPr>
      </w:pPr>
      <w:r w:rsidRPr="00BD3500">
        <w:rPr>
          <w:rFonts w:ascii="Arial" w:hAnsi="Arial" w:hint="cs"/>
          <w:b/>
          <w:bCs/>
          <w:color w:val="0000FF"/>
          <w:sz w:val="24"/>
          <w:u w:val="single"/>
          <w:rtl/>
        </w:rPr>
        <w:t>נפסקו פיצויים לעובדת בהריון שפוטרה, בגין הפרת תום הלב, מקום שחוק שוויון הזדמנויות וחוק עבודת נשים אינם חלים</w:t>
      </w:r>
    </w:p>
    <w:p w:rsidR="000118BE" w:rsidRDefault="000118BE" w:rsidP="008F590E">
      <w:pPr>
        <w:bidi/>
        <w:jc w:val="both"/>
        <w:outlineLvl w:val="1"/>
        <w:rPr>
          <w:b/>
          <w:bCs/>
          <w:sz w:val="24"/>
          <w:rtl/>
        </w:rPr>
      </w:pPr>
    </w:p>
    <w:p w:rsidR="000118BE" w:rsidRPr="003A0CB8" w:rsidRDefault="000118BE" w:rsidP="00A8553B">
      <w:pPr>
        <w:bidi/>
        <w:spacing w:line="360" w:lineRule="auto"/>
        <w:ind w:left="-86"/>
        <w:jc w:val="both"/>
        <w:rPr>
          <w:b/>
          <w:bCs/>
          <w:sz w:val="24"/>
          <w:rtl/>
        </w:rPr>
      </w:pPr>
      <w:r w:rsidRPr="003A0CB8">
        <w:rPr>
          <w:rFonts w:hint="cs"/>
          <w:b/>
          <w:bCs/>
          <w:sz w:val="24"/>
          <w:rtl/>
        </w:rPr>
        <w:t>עובדת בהיריון, שפוטרה מעבודתה לאחר ארבעה חודשי עבודה, תבעה פיצויים לפי חוק שוויון הזדמנויות בעבודה, תשמ"ח- 1988, חוק עבודת נשים, תשי"ד- 1954, וכן לפיצויים בגין פיטורים ללא שימוע.</w:t>
      </w:r>
    </w:p>
    <w:p w:rsidR="000118BE" w:rsidRPr="003A0CB8" w:rsidRDefault="000118BE" w:rsidP="00A8553B">
      <w:pPr>
        <w:bidi/>
        <w:spacing w:line="360" w:lineRule="auto"/>
        <w:ind w:left="-86"/>
        <w:jc w:val="both"/>
        <w:rPr>
          <w:b/>
          <w:bCs/>
          <w:sz w:val="24"/>
          <w:rtl/>
        </w:rPr>
      </w:pPr>
      <w:r w:rsidRPr="003A0CB8">
        <w:rPr>
          <w:rFonts w:hint="cs"/>
          <w:b/>
          <w:bCs/>
          <w:sz w:val="24"/>
          <w:rtl/>
        </w:rPr>
        <w:t>חוק שוויון הזדמנויות אינו חל על מעביד המעסיק פחות משישה עובדים. בענייננו, המעסיקה העסיקה, במועד הרלוונטי, חמישה עובדים בלבד ולפיכך, חוק שוויון הזדמנויות וחוק עבודת נשים אינם חלים.</w:t>
      </w:r>
    </w:p>
    <w:p w:rsidR="000118BE" w:rsidRPr="003A0CB8" w:rsidRDefault="000118BE" w:rsidP="00A8553B">
      <w:pPr>
        <w:bidi/>
        <w:spacing w:line="360" w:lineRule="auto"/>
        <w:ind w:left="-86"/>
        <w:jc w:val="both"/>
        <w:rPr>
          <w:b/>
          <w:bCs/>
          <w:sz w:val="24"/>
          <w:rtl/>
        </w:rPr>
      </w:pPr>
      <w:r w:rsidRPr="003A0CB8">
        <w:rPr>
          <w:rFonts w:hint="cs"/>
          <w:b/>
          <w:bCs/>
          <w:sz w:val="24"/>
          <w:rtl/>
        </w:rPr>
        <w:t>ואולם, על פי ההלכה הפסוקה, פיטורים הנובעים מחמת הריון מהווים הפרת חובת תום הלב בקיום חוזה העבודה, גם במקום בו לא חל חוק שוויון ההזדמנויות.</w:t>
      </w:r>
    </w:p>
    <w:p w:rsidR="000118BE" w:rsidRPr="003A0CB8" w:rsidRDefault="000118BE" w:rsidP="00A8553B">
      <w:pPr>
        <w:bidi/>
        <w:spacing w:line="360" w:lineRule="auto"/>
        <w:ind w:left="-86"/>
        <w:jc w:val="both"/>
        <w:rPr>
          <w:b/>
          <w:bCs/>
          <w:sz w:val="24"/>
          <w:rtl/>
        </w:rPr>
      </w:pPr>
      <w:r w:rsidRPr="003A0CB8">
        <w:rPr>
          <w:rFonts w:hint="cs"/>
          <w:b/>
          <w:bCs/>
          <w:sz w:val="24"/>
          <w:rtl/>
        </w:rPr>
        <w:t>לטענת המעסיקה,  פיטורי העובדת נבעו מחוסר שביעות רצון מתפקודה ולא על רקע הריונה.</w:t>
      </w:r>
    </w:p>
    <w:p w:rsidR="000118BE" w:rsidRPr="005A74BD" w:rsidRDefault="000118BE" w:rsidP="00A8553B">
      <w:pPr>
        <w:bidi/>
        <w:spacing w:line="360" w:lineRule="auto"/>
        <w:ind w:left="-86"/>
        <w:jc w:val="both"/>
        <w:rPr>
          <w:b/>
          <w:bCs/>
          <w:szCs w:val="28"/>
          <w:rtl/>
        </w:rPr>
      </w:pPr>
      <w:r w:rsidRPr="003A0CB8">
        <w:rPr>
          <w:rFonts w:hint="cs"/>
          <w:b/>
          <w:bCs/>
          <w:sz w:val="24"/>
          <w:rtl/>
        </w:rPr>
        <w:t>בית הדין הנכבד קיבל חלקית את טענת העובדת ופסק כי, על פי הראיות שבפניו קיים קשר בין ההריון לבין הפיטורים ולפיכך פסק פיצויי בסך 20,000 ₪ בגין פיטורים שלא כדין, בניגוד לעקרון תום הלב. כמו כן, פסק פיצוי בסך 3,500 ₪ בגין אי עריכת שימוע.</w:t>
      </w:r>
      <w:r>
        <w:rPr>
          <w:rFonts w:hint="cs"/>
          <w:b/>
          <w:bCs/>
          <w:szCs w:val="28"/>
          <w:rtl/>
        </w:rPr>
        <w:t xml:space="preserve"> </w:t>
      </w:r>
    </w:p>
    <w:p w:rsidR="000118BE" w:rsidRDefault="000118BE" w:rsidP="00A8553B">
      <w:pPr>
        <w:tabs>
          <w:tab w:val="left" w:pos="90"/>
        </w:tabs>
        <w:bidi/>
        <w:spacing w:line="360" w:lineRule="auto"/>
        <w:ind w:left="-90"/>
        <w:jc w:val="both"/>
        <w:rPr>
          <w:sz w:val="22"/>
          <w:szCs w:val="22"/>
          <w:rtl/>
          <w:lang w:eastAsia="he-IL"/>
        </w:rPr>
      </w:pPr>
      <w:r w:rsidRPr="003A0CB8">
        <w:rPr>
          <w:rFonts w:hint="cs"/>
          <w:sz w:val="22"/>
          <w:szCs w:val="22"/>
          <w:rtl/>
        </w:rPr>
        <w:t xml:space="preserve">ס"ע 40925-03-11 </w:t>
      </w:r>
      <w:r w:rsidRPr="003A0CB8">
        <w:rPr>
          <w:color w:val="FF0000"/>
          <w:sz w:val="22"/>
          <w:szCs w:val="22"/>
        </w:rPr>
        <w:t>●</w:t>
      </w:r>
      <w:r w:rsidRPr="003A0CB8">
        <w:rPr>
          <w:rFonts w:hint="cs"/>
          <w:b/>
          <w:bCs/>
          <w:sz w:val="22"/>
          <w:szCs w:val="22"/>
          <w:rtl/>
        </w:rPr>
        <w:t xml:space="preserve"> </w:t>
      </w:r>
      <w:r w:rsidRPr="008469B5">
        <w:rPr>
          <w:rFonts w:hint="cs"/>
          <w:b/>
          <w:bCs/>
          <w:color w:val="FF0000"/>
          <w:sz w:val="22"/>
          <w:szCs w:val="22"/>
          <w:rtl/>
        </w:rPr>
        <w:t>מיכל ספקטור דנינו נ' משרד עורכי דין א. נוה ושות'</w:t>
      </w:r>
      <w:r w:rsidRPr="008469B5">
        <w:rPr>
          <w:rFonts w:hint="cs"/>
          <w:color w:val="FF0000"/>
          <w:sz w:val="22"/>
          <w:szCs w:val="22"/>
          <w:rtl/>
        </w:rPr>
        <w:t xml:space="preserve"> </w:t>
      </w:r>
      <w:r w:rsidRPr="003A0CB8">
        <w:rPr>
          <w:rFonts w:hint="cs"/>
          <w:sz w:val="22"/>
          <w:szCs w:val="22"/>
          <w:rtl/>
        </w:rPr>
        <w:t xml:space="preserve">(19.11.13) </w:t>
      </w:r>
      <w:r w:rsidRPr="003A0CB8">
        <w:rPr>
          <w:sz w:val="22"/>
          <w:szCs w:val="22"/>
        </w:rPr>
        <w:t xml:space="preserve"> </w:t>
      </w:r>
      <w:r w:rsidRPr="003A0CB8">
        <w:rPr>
          <w:color w:val="FF0000"/>
          <w:sz w:val="22"/>
          <w:szCs w:val="22"/>
        </w:rPr>
        <w:t>●</w:t>
      </w:r>
      <w:r w:rsidRPr="003A0CB8">
        <w:rPr>
          <w:rFonts w:hint="cs"/>
          <w:sz w:val="22"/>
          <w:szCs w:val="22"/>
          <w:rtl/>
        </w:rPr>
        <w:t>בפני כבוד השופטת דגית ויסמ</w:t>
      </w:r>
      <w:r>
        <w:rPr>
          <w:rFonts w:hint="cs"/>
          <w:sz w:val="22"/>
          <w:szCs w:val="22"/>
          <w:rtl/>
          <w:lang w:eastAsia="he-IL"/>
        </w:rPr>
        <w:t>ן</w:t>
      </w:r>
    </w:p>
    <w:p w:rsidR="000118BE" w:rsidRDefault="000118BE" w:rsidP="008F590E">
      <w:pPr>
        <w:bidi/>
        <w:jc w:val="both"/>
        <w:outlineLvl w:val="1"/>
        <w:rPr>
          <w:rFonts w:ascii="Arial" w:hAnsi="Arial"/>
          <w:b/>
          <w:bCs/>
          <w:color w:val="008000"/>
          <w:sz w:val="28"/>
          <w:szCs w:val="28"/>
          <w:u w:val="single"/>
          <w:rtl/>
        </w:rPr>
      </w:pPr>
    </w:p>
    <w:p w:rsidR="008F590E" w:rsidRDefault="008F590E" w:rsidP="008F590E">
      <w:pPr>
        <w:bidi/>
        <w:jc w:val="both"/>
        <w:outlineLvl w:val="1"/>
        <w:rPr>
          <w:rFonts w:ascii="Arial" w:hAnsi="Arial"/>
          <w:b/>
          <w:bCs/>
          <w:color w:val="008000"/>
          <w:sz w:val="28"/>
          <w:szCs w:val="28"/>
          <w:u w:val="single"/>
          <w:rtl/>
        </w:rPr>
      </w:pPr>
    </w:p>
    <w:p w:rsidR="000118BE" w:rsidRPr="00BD3500" w:rsidRDefault="000118BE" w:rsidP="00A8553B">
      <w:pPr>
        <w:numPr>
          <w:ilvl w:val="0"/>
          <w:numId w:val="18"/>
        </w:numPr>
        <w:tabs>
          <w:tab w:val="left" w:pos="70"/>
        </w:tabs>
        <w:bidi/>
        <w:spacing w:line="360" w:lineRule="auto"/>
        <w:ind w:hanging="496"/>
        <w:jc w:val="both"/>
        <w:rPr>
          <w:rFonts w:ascii="Arial" w:hAnsi="Arial"/>
          <w:b/>
          <w:bCs/>
          <w:color w:val="0000FF"/>
          <w:sz w:val="24"/>
          <w:u w:val="single"/>
          <w:rtl/>
        </w:rPr>
      </w:pPr>
      <w:r w:rsidRPr="00BD3500">
        <w:rPr>
          <w:rFonts w:ascii="Arial" w:hAnsi="Arial" w:hint="cs"/>
          <w:b/>
          <w:bCs/>
          <w:color w:val="0000FF"/>
          <w:sz w:val="24"/>
          <w:u w:val="single"/>
          <w:rtl/>
        </w:rPr>
        <w:lastRenderedPageBreak/>
        <w:t xml:space="preserve">בוטלה החלטת הממונה האוסרת על פיטורי העובדת בהריון, לאחר שהממונה התעלמה בהחלטתה מסכסוך עמוק בין העובדת למעבידה </w:t>
      </w:r>
    </w:p>
    <w:p w:rsidR="000118BE" w:rsidRPr="009C7A09" w:rsidRDefault="000118BE" w:rsidP="00A8553B">
      <w:pPr>
        <w:tabs>
          <w:tab w:val="left" w:pos="70"/>
        </w:tabs>
        <w:bidi/>
        <w:spacing w:line="360" w:lineRule="auto"/>
        <w:jc w:val="both"/>
        <w:rPr>
          <w:rFonts w:ascii="Arial" w:hAnsi="Arial"/>
          <w:b/>
          <w:bCs/>
          <w:color w:val="008000"/>
          <w:sz w:val="24"/>
          <w:u w:val="single"/>
        </w:rPr>
      </w:pPr>
    </w:p>
    <w:p w:rsidR="000118BE" w:rsidRDefault="000118BE" w:rsidP="00A8553B">
      <w:pPr>
        <w:bidi/>
        <w:spacing w:line="360" w:lineRule="auto"/>
        <w:ind w:left="-86"/>
        <w:jc w:val="both"/>
        <w:rPr>
          <w:b/>
          <w:bCs/>
          <w:sz w:val="24"/>
          <w:rtl/>
        </w:rPr>
      </w:pPr>
      <w:r w:rsidRPr="00E84A1A">
        <w:rPr>
          <w:rFonts w:hint="cs"/>
          <w:b/>
          <w:bCs/>
          <w:sz w:val="24"/>
          <w:rtl/>
        </w:rPr>
        <w:t>מעסיקה שכרה נכס לשימוש העסק שלה, אך תוך זמן קצר התגלע סכסוך בינה לבין המשכיר, שגלש אף לאלימות מצידו. בין העובדת למשכיר נרקמו יחסים והיא אף הרתה לו. בעקבות כך, טענה המעסיקה, כי חלה הרעה משמעותית בהתנהלותה המקצועית והאישית של העובדת, ולכן הודיעה לה כי בכוונתה לפנות לממונה על עבודת נשים לקבלת היתר לפיטוריה.</w:t>
      </w:r>
    </w:p>
    <w:p w:rsidR="000118BE" w:rsidRDefault="000118BE" w:rsidP="00A8553B">
      <w:pPr>
        <w:bidi/>
        <w:spacing w:line="360" w:lineRule="auto"/>
        <w:ind w:left="-86"/>
        <w:jc w:val="both"/>
        <w:rPr>
          <w:b/>
          <w:bCs/>
          <w:sz w:val="24"/>
          <w:rtl/>
        </w:rPr>
      </w:pPr>
      <w:r w:rsidRPr="00E84A1A">
        <w:rPr>
          <w:rFonts w:hint="cs"/>
          <w:b/>
          <w:bCs/>
          <w:sz w:val="24"/>
          <w:rtl/>
        </w:rPr>
        <w:t xml:space="preserve">הממונה קבעה בהחלטתה כי ההיריון היווה גורם בהחלטת הפיטורים של העובדת ולכן לא ניתן להתיר את הפיטורים. לפיכך, המעסיקה ערערה על החלטת </w:t>
      </w:r>
      <w:r>
        <w:rPr>
          <w:rFonts w:hint="cs"/>
          <w:b/>
          <w:bCs/>
          <w:sz w:val="24"/>
          <w:rtl/>
        </w:rPr>
        <w:t>הממונה לבית הדין האזורי לעבודה.</w:t>
      </w:r>
    </w:p>
    <w:p w:rsidR="000118BE" w:rsidRPr="00E84A1A" w:rsidRDefault="000118BE" w:rsidP="00A8553B">
      <w:pPr>
        <w:bidi/>
        <w:spacing w:line="360" w:lineRule="auto"/>
        <w:ind w:left="-86"/>
        <w:jc w:val="both"/>
        <w:rPr>
          <w:b/>
          <w:bCs/>
          <w:sz w:val="24"/>
          <w:rtl/>
        </w:rPr>
      </w:pPr>
      <w:r w:rsidRPr="00E84A1A">
        <w:rPr>
          <w:rFonts w:hint="cs"/>
          <w:b/>
          <w:bCs/>
          <w:sz w:val="24"/>
          <w:rtl/>
        </w:rPr>
        <w:t xml:space="preserve">בית הדין האזורי לעבודה פסק כי מאחר והממונה התעלמה בהחלטתה מסכסוך עמוק שבין המעסיקה והעובדת שהחל בטרם העובדת הרתה ושבגללו היא פוטרה, נפל פגם המצדיק את התערבותו של בית הדין וכן ביטול  החלטת הממונה האוסרת על פיטורי העובדת. </w:t>
      </w:r>
    </w:p>
    <w:p w:rsidR="000118BE" w:rsidRPr="00E84A1A" w:rsidRDefault="000118BE" w:rsidP="00A8553B">
      <w:pPr>
        <w:tabs>
          <w:tab w:val="left" w:pos="90"/>
        </w:tabs>
        <w:bidi/>
        <w:spacing w:line="360" w:lineRule="auto"/>
        <w:ind w:left="-90"/>
        <w:jc w:val="both"/>
        <w:rPr>
          <w:b/>
          <w:bCs/>
          <w:sz w:val="22"/>
          <w:szCs w:val="22"/>
          <w:rtl/>
        </w:rPr>
      </w:pPr>
      <w:r w:rsidRPr="00E84A1A">
        <w:rPr>
          <w:rFonts w:hint="cs"/>
          <w:color w:val="000000"/>
          <w:sz w:val="22"/>
          <w:szCs w:val="22"/>
          <w:rtl/>
        </w:rPr>
        <w:t xml:space="preserve">עלח </w:t>
      </w:r>
      <w:r w:rsidRPr="00E84A1A">
        <w:rPr>
          <w:color w:val="000000"/>
          <w:sz w:val="22"/>
          <w:szCs w:val="22"/>
          <w:rtl/>
        </w:rPr>
        <w:t>(</w:t>
      </w:r>
      <w:r w:rsidRPr="00E84A1A">
        <w:rPr>
          <w:rFonts w:hint="cs"/>
          <w:color w:val="000000"/>
          <w:sz w:val="22"/>
          <w:szCs w:val="22"/>
          <w:rtl/>
        </w:rPr>
        <w:t>י-ם</w:t>
      </w:r>
      <w:r w:rsidRPr="00E84A1A">
        <w:rPr>
          <w:color w:val="000000"/>
          <w:sz w:val="22"/>
          <w:szCs w:val="22"/>
          <w:rtl/>
        </w:rPr>
        <w:t xml:space="preserve">) </w:t>
      </w:r>
      <w:r w:rsidRPr="00E84A1A">
        <w:rPr>
          <w:rFonts w:hint="cs"/>
          <w:color w:val="000000"/>
          <w:sz w:val="22"/>
          <w:szCs w:val="22"/>
          <w:rtl/>
        </w:rPr>
        <w:t>46959-01-13</w:t>
      </w:r>
      <w:r w:rsidRPr="00E84A1A">
        <w:rPr>
          <w:rFonts w:hint="cs"/>
          <w:sz w:val="22"/>
          <w:szCs w:val="22"/>
          <w:rtl/>
        </w:rPr>
        <w:t xml:space="preserve"> </w:t>
      </w:r>
      <w:r w:rsidRPr="00E84A1A">
        <w:rPr>
          <w:color w:val="FF0000"/>
          <w:sz w:val="22"/>
          <w:szCs w:val="22"/>
        </w:rPr>
        <w:t>●</w:t>
      </w:r>
      <w:r w:rsidRPr="00E84A1A">
        <w:rPr>
          <w:rFonts w:hint="cs"/>
          <w:b/>
          <w:bCs/>
          <w:sz w:val="22"/>
          <w:szCs w:val="22"/>
          <w:rtl/>
        </w:rPr>
        <w:t xml:space="preserve"> </w:t>
      </w:r>
      <w:r w:rsidRPr="008469B5">
        <w:rPr>
          <w:rFonts w:hint="cs"/>
          <w:b/>
          <w:bCs/>
          <w:color w:val="FF0000"/>
          <w:sz w:val="22"/>
          <w:szCs w:val="22"/>
          <w:rtl/>
        </w:rPr>
        <w:t>זמירה גולן נ' רויטל אילוז</w:t>
      </w:r>
      <w:r w:rsidRPr="008469B5">
        <w:rPr>
          <w:rFonts w:hint="cs"/>
          <w:color w:val="FF0000"/>
          <w:sz w:val="22"/>
          <w:szCs w:val="22"/>
          <w:rtl/>
        </w:rPr>
        <w:t xml:space="preserve"> </w:t>
      </w:r>
      <w:r w:rsidRPr="00E84A1A">
        <w:rPr>
          <w:rFonts w:hint="cs"/>
          <w:sz w:val="22"/>
          <w:szCs w:val="22"/>
          <w:rtl/>
        </w:rPr>
        <w:t xml:space="preserve">(2.10.13) </w:t>
      </w:r>
      <w:r w:rsidRPr="00E84A1A">
        <w:rPr>
          <w:sz w:val="22"/>
          <w:szCs w:val="22"/>
        </w:rPr>
        <w:t xml:space="preserve"> </w:t>
      </w:r>
      <w:r w:rsidRPr="00E84A1A">
        <w:rPr>
          <w:color w:val="FF0000"/>
          <w:sz w:val="22"/>
          <w:szCs w:val="22"/>
        </w:rPr>
        <w:t>●</w:t>
      </w:r>
      <w:r w:rsidRPr="00E84A1A">
        <w:rPr>
          <w:rFonts w:hint="cs"/>
          <w:sz w:val="22"/>
          <w:szCs w:val="22"/>
          <w:rtl/>
        </w:rPr>
        <w:t>בפני כבוד השופטת שרה שדיאור, נ.ע. הגב' שולמית שמש, נ.מ. הגב' תמר סליימן</w:t>
      </w:r>
    </w:p>
    <w:p w:rsidR="000118BE" w:rsidRPr="00BD3500" w:rsidRDefault="000118BE" w:rsidP="00A8553B">
      <w:pPr>
        <w:tabs>
          <w:tab w:val="num" w:pos="224"/>
        </w:tabs>
        <w:bidi/>
        <w:spacing w:line="360" w:lineRule="auto"/>
        <w:ind w:left="224"/>
        <w:jc w:val="both"/>
        <w:outlineLvl w:val="1"/>
        <w:rPr>
          <w:rFonts w:ascii="David" w:hAnsi="David"/>
          <w:b/>
          <w:bCs/>
          <w:color w:val="0000FF"/>
          <w:sz w:val="36"/>
          <w:szCs w:val="30"/>
          <w:u w:val="single"/>
          <w:rtl/>
        </w:rPr>
      </w:pPr>
    </w:p>
    <w:p w:rsidR="000118BE" w:rsidRPr="00BD3500" w:rsidRDefault="000118BE" w:rsidP="00A8553B">
      <w:pPr>
        <w:numPr>
          <w:ilvl w:val="0"/>
          <w:numId w:val="18"/>
        </w:numPr>
        <w:tabs>
          <w:tab w:val="left" w:pos="70"/>
        </w:tabs>
        <w:bidi/>
        <w:spacing w:line="360" w:lineRule="auto"/>
        <w:ind w:hanging="496"/>
        <w:jc w:val="both"/>
        <w:rPr>
          <w:rFonts w:ascii="Arial" w:hAnsi="Arial"/>
          <w:b/>
          <w:bCs/>
          <w:color w:val="0000FF"/>
          <w:sz w:val="24"/>
          <w:u w:val="single"/>
          <w:rtl/>
        </w:rPr>
      </w:pPr>
      <w:r w:rsidRPr="00BD3500">
        <w:rPr>
          <w:rFonts w:ascii="Arial" w:hAnsi="Arial" w:hint="cs"/>
          <w:b/>
          <w:bCs/>
          <w:color w:val="0000FF"/>
          <w:sz w:val="24"/>
          <w:u w:val="single"/>
          <w:rtl/>
        </w:rPr>
        <w:t>נדחתה תביעת עובדת שטענה כי פוטרה במהלך ועקב טיפולי פוריות, לאחר שדיווחה למעסיקה על הטיפול אחרי הודעת הפיטורים</w:t>
      </w:r>
    </w:p>
    <w:p w:rsidR="000118BE" w:rsidRPr="009C7A09" w:rsidRDefault="000118BE" w:rsidP="00A8553B">
      <w:pPr>
        <w:tabs>
          <w:tab w:val="left" w:pos="70"/>
        </w:tabs>
        <w:bidi/>
        <w:spacing w:line="360" w:lineRule="auto"/>
        <w:jc w:val="both"/>
        <w:rPr>
          <w:rFonts w:ascii="Arial" w:hAnsi="Arial"/>
          <w:b/>
          <w:bCs/>
          <w:color w:val="008000"/>
          <w:sz w:val="24"/>
          <w:u w:val="single"/>
        </w:rPr>
      </w:pPr>
    </w:p>
    <w:p w:rsidR="000118BE" w:rsidRPr="00565EDF" w:rsidRDefault="000118BE" w:rsidP="00A8553B">
      <w:pPr>
        <w:bidi/>
        <w:spacing w:line="360" w:lineRule="auto"/>
        <w:ind w:left="-86"/>
        <w:jc w:val="both"/>
        <w:rPr>
          <w:b/>
          <w:bCs/>
          <w:sz w:val="24"/>
          <w:rtl/>
        </w:rPr>
      </w:pPr>
      <w:r w:rsidRPr="00565EDF">
        <w:rPr>
          <w:rFonts w:hint="cs"/>
          <w:b/>
          <w:bCs/>
          <w:sz w:val="24"/>
          <w:rtl/>
        </w:rPr>
        <w:t xml:space="preserve">עובדת שפוטרה הגישה תביעה נגד המעסיקה בטענה כי פוטרה במהלך טיפולי הפוריות שעברה וללא שימוע. </w:t>
      </w:r>
    </w:p>
    <w:p w:rsidR="000118BE" w:rsidRPr="00565EDF" w:rsidRDefault="000118BE" w:rsidP="00A8553B">
      <w:pPr>
        <w:bidi/>
        <w:spacing w:line="360" w:lineRule="auto"/>
        <w:ind w:left="-86"/>
        <w:jc w:val="both"/>
        <w:rPr>
          <w:b/>
          <w:bCs/>
          <w:sz w:val="24"/>
          <w:rtl/>
        </w:rPr>
      </w:pPr>
      <w:r w:rsidRPr="00565EDF">
        <w:rPr>
          <w:rFonts w:hint="cs"/>
          <w:b/>
          <w:bCs/>
          <w:sz w:val="24"/>
          <w:rtl/>
        </w:rPr>
        <w:t xml:space="preserve">בית הדין פסק כי מהחומר הרפואי עולה בבירור כי טיפולי הפוריות והטיפולים להפריה חוץ גופית לא בוצעו לפני מתן מכתב הפיטורים. </w:t>
      </w:r>
    </w:p>
    <w:p w:rsidR="000118BE" w:rsidRPr="00565EDF" w:rsidRDefault="000118BE" w:rsidP="00A8553B">
      <w:pPr>
        <w:bidi/>
        <w:spacing w:line="360" w:lineRule="auto"/>
        <w:ind w:left="-86"/>
        <w:jc w:val="both"/>
        <w:rPr>
          <w:b/>
          <w:bCs/>
          <w:sz w:val="24"/>
          <w:rtl/>
        </w:rPr>
      </w:pPr>
      <w:r w:rsidRPr="00565EDF">
        <w:rPr>
          <w:rFonts w:hint="cs"/>
          <w:b/>
          <w:bCs/>
          <w:sz w:val="24"/>
          <w:rtl/>
        </w:rPr>
        <w:t>על פי סעיף 9(ה)(1) לחוק עבודת נשים, חל איסור לפטר אישה שעוברת טיפולי פוריות בתנאי, שהעובדת הודיעה על כך מראש למעבידה. בית הדין פסק כי פיטוריה של העובדת לא היו טעונים אישור, מאחר והעובדת לא הודיעה למעסיקה על ביצוע טיפולי הפוריות, לפני שנמסר לה מכתב הפיטורים.</w:t>
      </w:r>
    </w:p>
    <w:p w:rsidR="000118BE" w:rsidRPr="00565EDF" w:rsidRDefault="000118BE" w:rsidP="00A8553B">
      <w:pPr>
        <w:bidi/>
        <w:spacing w:line="360" w:lineRule="auto"/>
        <w:ind w:left="-86"/>
        <w:jc w:val="both"/>
        <w:rPr>
          <w:b/>
          <w:bCs/>
          <w:sz w:val="24"/>
          <w:rtl/>
        </w:rPr>
      </w:pPr>
      <w:r w:rsidRPr="00565EDF">
        <w:rPr>
          <w:rFonts w:hint="cs"/>
          <w:b/>
          <w:bCs/>
          <w:sz w:val="24"/>
          <w:rtl/>
        </w:rPr>
        <w:t xml:space="preserve">כמו כן, על פי סעיף 2(א) לחוק שוויון ההזדמנויות בעבודה, מעביד לא יפלה בין עובדיו בפיטורים מחמת טיפולי פוריות. בית הדין פסק כי פטורי העובדת היו עקב חוסר שביעות רצון מעבודתה ולא מחמת טיפולי פוריות שעברה, עליהם לא ידעה המעסיקה לפני מסירת הודעת הפיטורים. בנוסף, בית הדין פסק כי אין בסיס לטענת העובדת לפיה לא נערך לה שימוע. </w:t>
      </w:r>
    </w:p>
    <w:p w:rsidR="000118BE" w:rsidRPr="00565EDF" w:rsidRDefault="000118BE" w:rsidP="00A8553B">
      <w:pPr>
        <w:bidi/>
        <w:spacing w:line="360" w:lineRule="auto"/>
        <w:ind w:left="-86"/>
        <w:jc w:val="both"/>
        <w:rPr>
          <w:b/>
          <w:bCs/>
          <w:sz w:val="24"/>
          <w:rtl/>
        </w:rPr>
      </w:pPr>
      <w:r w:rsidRPr="00565EDF">
        <w:rPr>
          <w:rFonts w:hint="cs"/>
          <w:b/>
          <w:bCs/>
          <w:sz w:val="24"/>
          <w:rtl/>
        </w:rPr>
        <w:t xml:space="preserve">בית הדין דחה את התביעה במלואה, ופסק כי העובדת תשלם למעסיקה שכר טרחת עורך דין בסך 10,000 ₪. </w:t>
      </w:r>
    </w:p>
    <w:p w:rsidR="000118BE" w:rsidRPr="00565EDF" w:rsidRDefault="000118BE" w:rsidP="00A8553B">
      <w:pPr>
        <w:tabs>
          <w:tab w:val="left" w:pos="90"/>
        </w:tabs>
        <w:bidi/>
        <w:spacing w:line="360" w:lineRule="auto"/>
        <w:ind w:left="-90"/>
        <w:jc w:val="both"/>
        <w:rPr>
          <w:color w:val="000000"/>
          <w:sz w:val="22"/>
          <w:szCs w:val="22"/>
          <w:rtl/>
        </w:rPr>
      </w:pPr>
      <w:r w:rsidRPr="00565EDF">
        <w:rPr>
          <w:color w:val="000000"/>
          <w:sz w:val="22"/>
          <w:szCs w:val="22"/>
          <w:rtl/>
        </w:rPr>
        <w:t>סע (</w:t>
      </w:r>
      <w:r w:rsidRPr="00565EDF">
        <w:rPr>
          <w:rFonts w:hint="cs"/>
          <w:color w:val="000000"/>
          <w:sz w:val="22"/>
          <w:szCs w:val="22"/>
          <w:rtl/>
        </w:rPr>
        <w:t>י-ם</w:t>
      </w:r>
      <w:r w:rsidRPr="00565EDF">
        <w:rPr>
          <w:color w:val="000000"/>
          <w:sz w:val="22"/>
          <w:szCs w:val="22"/>
          <w:rtl/>
        </w:rPr>
        <w:t xml:space="preserve">) </w:t>
      </w:r>
      <w:r w:rsidRPr="00565EDF">
        <w:rPr>
          <w:rFonts w:hint="cs"/>
          <w:color w:val="000000"/>
          <w:sz w:val="22"/>
          <w:szCs w:val="22"/>
          <w:rtl/>
        </w:rPr>
        <w:t>50501</w:t>
      </w:r>
      <w:r w:rsidRPr="00565EDF">
        <w:rPr>
          <w:color w:val="000000"/>
          <w:sz w:val="22"/>
          <w:szCs w:val="22"/>
          <w:rtl/>
        </w:rPr>
        <w:t>-0</w:t>
      </w:r>
      <w:r w:rsidRPr="00565EDF">
        <w:rPr>
          <w:rFonts w:hint="cs"/>
          <w:color w:val="000000"/>
          <w:sz w:val="22"/>
          <w:szCs w:val="22"/>
          <w:rtl/>
        </w:rPr>
        <w:t>5</w:t>
      </w:r>
      <w:r w:rsidRPr="00565EDF">
        <w:rPr>
          <w:color w:val="000000"/>
          <w:sz w:val="22"/>
          <w:szCs w:val="22"/>
          <w:rtl/>
        </w:rPr>
        <w:t>-1</w:t>
      </w:r>
      <w:r w:rsidRPr="00565EDF">
        <w:rPr>
          <w:rFonts w:hint="cs"/>
          <w:color w:val="000000"/>
          <w:sz w:val="22"/>
          <w:szCs w:val="22"/>
          <w:rtl/>
        </w:rPr>
        <w:t xml:space="preserve">0 </w:t>
      </w:r>
      <w:r w:rsidRPr="00565EDF">
        <w:rPr>
          <w:color w:val="FF0000"/>
          <w:sz w:val="22"/>
          <w:szCs w:val="22"/>
        </w:rPr>
        <w:t>●</w:t>
      </w:r>
      <w:r w:rsidRPr="00565EDF">
        <w:rPr>
          <w:rFonts w:hint="cs"/>
          <w:color w:val="FF0000"/>
          <w:sz w:val="22"/>
          <w:szCs w:val="22"/>
          <w:rtl/>
        </w:rPr>
        <w:t xml:space="preserve"> </w:t>
      </w:r>
      <w:r w:rsidRPr="008469B5">
        <w:rPr>
          <w:rFonts w:hint="cs"/>
          <w:b/>
          <w:bCs/>
          <w:color w:val="FF0000"/>
          <w:sz w:val="22"/>
          <w:szCs w:val="22"/>
          <w:rtl/>
        </w:rPr>
        <w:t>לירון ביטון נ' שחר שות', חברה להנדסה אזרחית בניה ותשתיות בע"מ</w:t>
      </w:r>
      <w:r w:rsidRPr="008469B5">
        <w:rPr>
          <w:rFonts w:hint="cs"/>
          <w:color w:val="FF0000"/>
          <w:sz w:val="22"/>
          <w:szCs w:val="22"/>
          <w:rtl/>
        </w:rPr>
        <w:t xml:space="preserve"> </w:t>
      </w:r>
      <w:r w:rsidRPr="00565EDF">
        <w:rPr>
          <w:rFonts w:hint="cs"/>
          <w:color w:val="000000"/>
          <w:sz w:val="22"/>
          <w:szCs w:val="22"/>
          <w:rtl/>
        </w:rPr>
        <w:t xml:space="preserve">(4.8.13) </w:t>
      </w:r>
      <w:r w:rsidRPr="00565EDF">
        <w:rPr>
          <w:color w:val="000000"/>
          <w:sz w:val="22"/>
          <w:szCs w:val="22"/>
        </w:rPr>
        <w:t xml:space="preserve"> </w:t>
      </w:r>
      <w:r w:rsidRPr="00565EDF">
        <w:rPr>
          <w:color w:val="FF0000"/>
          <w:sz w:val="22"/>
          <w:szCs w:val="22"/>
        </w:rPr>
        <w:t>●</w:t>
      </w:r>
      <w:r w:rsidRPr="00565EDF">
        <w:rPr>
          <w:rFonts w:hint="cs"/>
          <w:color w:val="000000"/>
          <w:sz w:val="22"/>
          <w:szCs w:val="22"/>
          <w:rtl/>
        </w:rPr>
        <w:t>בפני כבוד השופט דניאל גולדברג, נ.ע. מר שלמה דורני</w:t>
      </w:r>
    </w:p>
    <w:p w:rsidR="000118BE" w:rsidRDefault="000118BE" w:rsidP="00A8553B">
      <w:pPr>
        <w:tabs>
          <w:tab w:val="num" w:pos="224"/>
        </w:tabs>
        <w:bidi/>
        <w:spacing w:line="360" w:lineRule="auto"/>
        <w:ind w:left="224"/>
        <w:jc w:val="both"/>
        <w:outlineLvl w:val="1"/>
        <w:rPr>
          <w:rFonts w:ascii="David" w:hAnsi="David"/>
          <w:b/>
          <w:bCs/>
          <w:sz w:val="36"/>
          <w:szCs w:val="30"/>
          <w:u w:val="single"/>
          <w:rtl/>
        </w:rPr>
      </w:pPr>
    </w:p>
    <w:p w:rsidR="000118BE" w:rsidRPr="00BD3500" w:rsidRDefault="000118BE" w:rsidP="00A8553B">
      <w:pPr>
        <w:numPr>
          <w:ilvl w:val="0"/>
          <w:numId w:val="18"/>
        </w:numPr>
        <w:tabs>
          <w:tab w:val="left" w:pos="70"/>
        </w:tabs>
        <w:bidi/>
        <w:spacing w:line="360" w:lineRule="auto"/>
        <w:ind w:hanging="496"/>
        <w:jc w:val="both"/>
        <w:rPr>
          <w:rFonts w:ascii="Arial" w:hAnsi="Arial"/>
          <w:b/>
          <w:bCs/>
          <w:color w:val="0000FF"/>
          <w:sz w:val="24"/>
          <w:u w:val="single"/>
          <w:rtl/>
        </w:rPr>
      </w:pPr>
      <w:r w:rsidRPr="00BD3500">
        <w:rPr>
          <w:rFonts w:ascii="Arial" w:hAnsi="Arial" w:hint="cs"/>
          <w:b/>
          <w:bCs/>
          <w:color w:val="0000FF"/>
          <w:sz w:val="24"/>
          <w:u w:val="single"/>
          <w:rtl/>
        </w:rPr>
        <w:lastRenderedPageBreak/>
        <w:t>אושרו פיטורי עובדת בהיריון שהאמון בה אבד לנוכח צילומי מצלמות האבטחה</w:t>
      </w:r>
    </w:p>
    <w:p w:rsidR="000118BE" w:rsidRPr="009C7A09" w:rsidRDefault="000118BE" w:rsidP="00A8553B">
      <w:pPr>
        <w:tabs>
          <w:tab w:val="left" w:pos="70"/>
        </w:tabs>
        <w:bidi/>
        <w:spacing w:line="360" w:lineRule="auto"/>
        <w:jc w:val="both"/>
        <w:rPr>
          <w:rFonts w:ascii="Arial" w:hAnsi="Arial"/>
          <w:b/>
          <w:bCs/>
          <w:color w:val="008000"/>
          <w:sz w:val="24"/>
          <w:u w:val="single"/>
        </w:rPr>
      </w:pPr>
    </w:p>
    <w:p w:rsidR="000118BE" w:rsidRPr="00082239" w:rsidRDefault="000118BE" w:rsidP="008469B5">
      <w:pPr>
        <w:bidi/>
        <w:spacing w:line="360" w:lineRule="auto"/>
        <w:ind w:left="-86"/>
        <w:jc w:val="both"/>
        <w:rPr>
          <w:b/>
          <w:bCs/>
          <w:sz w:val="24"/>
          <w:rtl/>
        </w:rPr>
      </w:pPr>
      <w:r w:rsidRPr="00082239">
        <w:rPr>
          <w:rFonts w:hint="cs"/>
          <w:b/>
          <w:bCs/>
          <w:sz w:val="24"/>
          <w:rtl/>
        </w:rPr>
        <w:t xml:space="preserve">עובדת בהריון פוטרה לאחר שהתעורר חשד בדבר דיווחי נוכחות כוזבים ו"גניבת שעות", שנחשפו בצילומי מצלמות האבטחה. לפי סעיף 9(א) לחוק עבודת נשים, מעביד לא יפטר עובדת בהריון, אלא בהיתר משר העבודה והרווחה. לפיכך, ביום 6.7.11, הגיש המעביד בקשה לקבלת היתר לפיטורי העובדת אצל הממונה וזאת למפרע, מיום הגשת הבקשה להיתר. הממונה התירה את פיטורי העובדת אך זאת רק מערב צאת העובדת לחופשת לידה. העובדת ערערה על החלטת הממונה שהסתמכה בהחלטתה על צילומי מצלמות האבטחה. לטענת העובדת, הופרה זכותה לפרטיות במקום העבודה. בית הדין דחה את ערעור העובדת בדבר פגיעה בפרטיות מאחר ומדובר במצלמות אבטחה גלויות המוצבות במקום ציבורי בכניסה לבניין ולא במצלמה נסתרת.  לפי סעיף 9ב לחוק עבודת נשים, הממונה רשאי להקדים את מועד פיטורי העובדת ליום הגשת הבקשה להיתר. המעסיקה ערערה על החלטת הממונה וטענתה כי לאור קיומן של נסיבות חמורות, היה על הממונה להקדים את מועד כניסת הפיטורים לתוקף למועד הגשת הבקשה לקבלת ההיתר. בית הדין דחה את ערעור המעביד ופסק כי על פי החוק ההחלטה באשר למועד מתן ההיתר נתונה לשיקול דעת הממונה וכי החלטתה שלא להקדים את מועד פיטורי העובדת לפני יציאת העובדת לחופשת הלידה, היא החלטה סבירה ומידתית. </w:t>
      </w:r>
    </w:p>
    <w:p w:rsidR="000118BE" w:rsidRDefault="000118BE" w:rsidP="00A8553B">
      <w:pPr>
        <w:bidi/>
        <w:spacing w:line="360" w:lineRule="auto"/>
        <w:ind w:left="-86"/>
        <w:jc w:val="both"/>
        <w:rPr>
          <w:b/>
          <w:bCs/>
          <w:sz w:val="22"/>
          <w:szCs w:val="22"/>
          <w:rtl/>
        </w:rPr>
      </w:pPr>
      <w:r w:rsidRPr="00082239">
        <w:rPr>
          <w:rFonts w:hint="cs"/>
          <w:sz w:val="22"/>
          <w:szCs w:val="22"/>
          <w:rtl/>
        </w:rPr>
        <w:t>עלח (ת"א)</w:t>
      </w:r>
      <w:r w:rsidRPr="00082239">
        <w:rPr>
          <w:sz w:val="22"/>
          <w:szCs w:val="22"/>
          <w:rtl/>
        </w:rPr>
        <w:t xml:space="preserve"> </w:t>
      </w:r>
      <w:r w:rsidRPr="00082239">
        <w:rPr>
          <w:rFonts w:hint="cs"/>
          <w:sz w:val="22"/>
          <w:szCs w:val="22"/>
          <w:rtl/>
        </w:rPr>
        <w:t xml:space="preserve">1116-02-12 </w:t>
      </w:r>
      <w:r w:rsidRPr="00082239">
        <w:rPr>
          <w:color w:val="FF0000"/>
          <w:sz w:val="22"/>
          <w:szCs w:val="22"/>
        </w:rPr>
        <w:t>●</w:t>
      </w:r>
      <w:r w:rsidRPr="00082239">
        <w:rPr>
          <w:rFonts w:hint="cs"/>
          <w:b/>
          <w:bCs/>
          <w:sz w:val="22"/>
          <w:szCs w:val="22"/>
          <w:rtl/>
        </w:rPr>
        <w:t xml:space="preserve"> </w:t>
      </w:r>
      <w:r w:rsidRPr="008469B5">
        <w:rPr>
          <w:rFonts w:hint="cs"/>
          <w:b/>
          <w:bCs/>
          <w:color w:val="FF0000"/>
          <w:sz w:val="22"/>
          <w:szCs w:val="22"/>
          <w:rtl/>
        </w:rPr>
        <w:t>פ.ד נ' פריגו ישראל סוכניות בע"מ</w:t>
      </w:r>
      <w:r w:rsidRPr="008469B5">
        <w:rPr>
          <w:rFonts w:hint="cs"/>
          <w:color w:val="FF0000"/>
          <w:sz w:val="22"/>
          <w:szCs w:val="22"/>
          <w:rtl/>
        </w:rPr>
        <w:t xml:space="preserve"> </w:t>
      </w:r>
      <w:r w:rsidRPr="00082239">
        <w:rPr>
          <w:rFonts w:hint="cs"/>
          <w:sz w:val="22"/>
          <w:szCs w:val="22"/>
          <w:rtl/>
        </w:rPr>
        <w:t xml:space="preserve">(18.8.13) </w:t>
      </w:r>
      <w:r w:rsidRPr="00082239">
        <w:rPr>
          <w:sz w:val="22"/>
          <w:szCs w:val="22"/>
        </w:rPr>
        <w:t xml:space="preserve"> </w:t>
      </w:r>
      <w:r w:rsidRPr="00082239">
        <w:rPr>
          <w:color w:val="FF0000"/>
          <w:sz w:val="22"/>
          <w:szCs w:val="22"/>
        </w:rPr>
        <w:t>●</w:t>
      </w:r>
      <w:r w:rsidRPr="00082239">
        <w:rPr>
          <w:rFonts w:hint="cs"/>
          <w:sz w:val="22"/>
          <w:szCs w:val="22"/>
          <w:rtl/>
        </w:rPr>
        <w:t>בפני כבוד השופטת הדס יהלום, נ.מ. מר דן זלינגר, נ.ע. מר רפי גמליאל</w:t>
      </w:r>
    </w:p>
    <w:p w:rsidR="000118BE" w:rsidRDefault="000118BE" w:rsidP="00A8553B">
      <w:pPr>
        <w:bidi/>
        <w:spacing w:line="360" w:lineRule="auto"/>
        <w:ind w:left="-86"/>
        <w:jc w:val="both"/>
        <w:rPr>
          <w:b/>
          <w:bCs/>
          <w:sz w:val="22"/>
          <w:szCs w:val="22"/>
          <w:rtl/>
        </w:rPr>
      </w:pPr>
    </w:p>
    <w:p w:rsidR="000118BE" w:rsidRPr="00BD3500" w:rsidRDefault="000118BE" w:rsidP="00A8553B">
      <w:pPr>
        <w:numPr>
          <w:ilvl w:val="0"/>
          <w:numId w:val="18"/>
        </w:numPr>
        <w:tabs>
          <w:tab w:val="left" w:pos="70"/>
        </w:tabs>
        <w:bidi/>
        <w:spacing w:line="360" w:lineRule="auto"/>
        <w:ind w:hanging="496"/>
        <w:jc w:val="both"/>
        <w:rPr>
          <w:rFonts w:ascii="Arial" w:hAnsi="Arial"/>
          <w:b/>
          <w:bCs/>
          <w:color w:val="0000FF"/>
          <w:sz w:val="24"/>
          <w:u w:val="single"/>
          <w:rtl/>
        </w:rPr>
      </w:pPr>
      <w:r w:rsidRPr="00BD3500">
        <w:rPr>
          <w:rFonts w:ascii="Arial" w:hAnsi="Arial" w:hint="cs"/>
          <w:b/>
          <w:bCs/>
          <w:color w:val="0000FF"/>
          <w:sz w:val="24"/>
          <w:u w:val="single"/>
          <w:rtl/>
        </w:rPr>
        <w:t>פיצוי בסך של כ- 90,000 ₪ לעובדת בפוטרה מעבודתה מחמת הריונה בטרם השלימה 6 חודשי עבודה</w:t>
      </w:r>
    </w:p>
    <w:p w:rsidR="000118BE" w:rsidRPr="009C7A09" w:rsidRDefault="000118BE" w:rsidP="00A8553B">
      <w:pPr>
        <w:tabs>
          <w:tab w:val="left" w:pos="70"/>
        </w:tabs>
        <w:bidi/>
        <w:spacing w:line="360" w:lineRule="auto"/>
        <w:jc w:val="both"/>
        <w:rPr>
          <w:rFonts w:ascii="Arial" w:hAnsi="Arial"/>
          <w:b/>
          <w:bCs/>
          <w:color w:val="008000"/>
          <w:sz w:val="24"/>
          <w:u w:val="single"/>
        </w:rPr>
      </w:pPr>
    </w:p>
    <w:p w:rsidR="000118BE" w:rsidRPr="00321F87" w:rsidRDefault="000118BE" w:rsidP="008469B5">
      <w:pPr>
        <w:bidi/>
        <w:spacing w:line="360" w:lineRule="auto"/>
        <w:ind w:left="-86"/>
        <w:jc w:val="both"/>
        <w:rPr>
          <w:b/>
          <w:bCs/>
          <w:sz w:val="24"/>
          <w:rtl/>
        </w:rPr>
      </w:pPr>
      <w:r w:rsidRPr="00321F87">
        <w:rPr>
          <w:rFonts w:hint="cs"/>
          <w:b/>
          <w:bCs/>
          <w:sz w:val="24"/>
          <w:rtl/>
        </w:rPr>
        <w:t>בית הדין האזורי קיבל את תביעתה של עו</w:t>
      </w:r>
      <w:r w:rsidR="008469B5">
        <w:rPr>
          <w:rFonts w:hint="cs"/>
          <w:b/>
          <w:bCs/>
          <w:sz w:val="24"/>
          <w:rtl/>
        </w:rPr>
        <w:t>בדת שטענה כי פוטרה מחמת הריונה לאחר ש</w:t>
      </w:r>
      <w:r w:rsidRPr="00321F87">
        <w:rPr>
          <w:rFonts w:hint="cs"/>
          <w:b/>
          <w:bCs/>
          <w:sz w:val="24"/>
          <w:rtl/>
        </w:rPr>
        <w:t>שוכנע, כי ההריון היווה שיקול מכריע בהחלטה לפטר את העובדת בעיתוי בו פוטרה, וכי מרגע שנודע דבר הריונה של התובעת, החל המעסיק במרוץ כנגד הזמן ועשה כל שלאל ידו על מנת ליתן את הודעת הפיטורים בטרם ימלאו ששה חודשים לעבודתה של התובעת בחברה. נפסק, כי פיטורי התובעת במועד בו בוצעו (לאחר תקופת עבודה של חמישה חודשים ו- 27 ימים) היו מחמת הריונה וכי הליך הפיטורים בוצע בחוסר תום לב ובניגוד לדין, תוך הפרה של חוזה העבודה בין הצדדים ובניסיון לעקוף את הוראות חוק עבודת נשים. בית הדין קיבל את התביעה במלואה ופסק לתובעת פיצוי בסך כולל של כ- 90,000 ₪. בית הדין פסק, כי במקרה כגון זה, ראוי לפסוק, בנוסף על הפיצוי בגין נזק ממוני, גם פיצוי על נזק שאינו ממוני (סכום של 25,000₪ בהתחשב בתקופת עבודתה הקצרה של העובדת בחברה) וכן פיצוי בגין אי עריכת שימוע (סכום של 8,000 ₪), מאחר שהזימון לשימוע נמסר לעובדת בעת ששהתה בחופשה מחלה. נקבע כי הפרשנות הראויה לסעיף 4 לחוק דמי מחלה היא כי בתקופה מחלה חל איסור על זימון העובד לשימוע ויש לבצע את הליך השימוע כולו בעת שהעובד נמצא במקום עבודתו.</w:t>
      </w:r>
    </w:p>
    <w:p w:rsidR="000118BE" w:rsidRDefault="000118BE" w:rsidP="00A8553B">
      <w:pPr>
        <w:bidi/>
        <w:spacing w:line="360" w:lineRule="auto"/>
        <w:ind w:left="-86"/>
        <w:jc w:val="both"/>
        <w:rPr>
          <w:b/>
          <w:bCs/>
          <w:sz w:val="22"/>
          <w:szCs w:val="22"/>
          <w:rtl/>
        </w:rPr>
      </w:pPr>
      <w:r w:rsidRPr="00321F87">
        <w:rPr>
          <w:color w:val="000000"/>
          <w:sz w:val="22"/>
          <w:szCs w:val="22"/>
          <w:rtl/>
        </w:rPr>
        <w:t>סע</w:t>
      </w:r>
      <w:r w:rsidRPr="00321F87">
        <w:rPr>
          <w:rFonts w:hint="cs"/>
          <w:color w:val="000000"/>
          <w:sz w:val="22"/>
          <w:szCs w:val="22"/>
          <w:rtl/>
        </w:rPr>
        <w:t>"ש</w:t>
      </w:r>
      <w:r w:rsidRPr="00321F87">
        <w:rPr>
          <w:color w:val="000000"/>
          <w:sz w:val="22"/>
          <w:szCs w:val="22"/>
          <w:rtl/>
        </w:rPr>
        <w:t xml:space="preserve"> (חי') </w:t>
      </w:r>
      <w:r w:rsidRPr="00321F87">
        <w:rPr>
          <w:rFonts w:hint="cs"/>
          <w:color w:val="000000"/>
          <w:sz w:val="22"/>
          <w:szCs w:val="22"/>
          <w:rtl/>
        </w:rPr>
        <w:t>51666-06-12</w:t>
      </w:r>
      <w:r w:rsidRPr="00321F87">
        <w:rPr>
          <w:rFonts w:hint="cs"/>
          <w:sz w:val="22"/>
          <w:szCs w:val="22"/>
          <w:rtl/>
        </w:rPr>
        <w:t xml:space="preserve"> </w:t>
      </w:r>
      <w:r w:rsidRPr="00321F87">
        <w:rPr>
          <w:color w:val="FF0000"/>
          <w:sz w:val="22"/>
          <w:szCs w:val="22"/>
        </w:rPr>
        <w:t>●</w:t>
      </w:r>
      <w:r w:rsidRPr="00321F87">
        <w:rPr>
          <w:rFonts w:hint="cs"/>
          <w:b/>
          <w:bCs/>
          <w:sz w:val="22"/>
          <w:szCs w:val="22"/>
          <w:rtl/>
        </w:rPr>
        <w:t xml:space="preserve"> </w:t>
      </w:r>
      <w:r w:rsidRPr="008469B5">
        <w:rPr>
          <w:rFonts w:hint="cs"/>
          <w:b/>
          <w:bCs/>
          <w:color w:val="FF0000"/>
          <w:sz w:val="22"/>
          <w:szCs w:val="22"/>
          <w:rtl/>
        </w:rPr>
        <w:t>ענבל הראל - גלובל ישראל</w:t>
      </w:r>
      <w:r w:rsidRPr="008469B5">
        <w:rPr>
          <w:rFonts w:hint="cs"/>
          <w:color w:val="FF0000"/>
          <w:sz w:val="22"/>
          <w:szCs w:val="22"/>
          <w:rtl/>
        </w:rPr>
        <w:t xml:space="preserve">  </w:t>
      </w:r>
      <w:r w:rsidRPr="00321F87">
        <w:rPr>
          <w:rFonts w:hint="cs"/>
          <w:sz w:val="22"/>
          <w:szCs w:val="22"/>
          <w:rtl/>
        </w:rPr>
        <w:t xml:space="preserve">(28.9.13) </w:t>
      </w:r>
      <w:r w:rsidRPr="00321F87">
        <w:rPr>
          <w:color w:val="FF0000"/>
          <w:sz w:val="22"/>
          <w:szCs w:val="22"/>
        </w:rPr>
        <w:t xml:space="preserve"> ●</w:t>
      </w:r>
      <w:r w:rsidRPr="00321F87">
        <w:rPr>
          <w:rFonts w:hint="cs"/>
          <w:sz w:val="22"/>
          <w:szCs w:val="22"/>
          <w:rtl/>
        </w:rPr>
        <w:t>בפני כבוד השופט אורן שגב, נ.ע. גב' אסתר ויס, נ.מ. מר שמואל אשכולי</w:t>
      </w:r>
    </w:p>
    <w:p w:rsidR="000118BE" w:rsidRDefault="000118BE" w:rsidP="00A8553B">
      <w:pPr>
        <w:bidi/>
        <w:spacing w:line="360" w:lineRule="auto"/>
        <w:ind w:left="-86"/>
        <w:jc w:val="both"/>
        <w:rPr>
          <w:b/>
          <w:bCs/>
          <w:sz w:val="22"/>
          <w:szCs w:val="22"/>
          <w:rtl/>
        </w:rPr>
      </w:pPr>
    </w:p>
    <w:p w:rsidR="000118BE" w:rsidRPr="00BD3500" w:rsidRDefault="000118BE" w:rsidP="00A8553B">
      <w:pPr>
        <w:numPr>
          <w:ilvl w:val="0"/>
          <w:numId w:val="18"/>
        </w:numPr>
        <w:tabs>
          <w:tab w:val="left" w:pos="70"/>
        </w:tabs>
        <w:bidi/>
        <w:spacing w:line="360" w:lineRule="auto"/>
        <w:ind w:hanging="496"/>
        <w:jc w:val="both"/>
        <w:rPr>
          <w:rFonts w:ascii="Arial" w:hAnsi="Arial"/>
          <w:b/>
          <w:bCs/>
          <w:color w:val="0000FF"/>
          <w:sz w:val="24"/>
          <w:u w:val="single"/>
          <w:rtl/>
        </w:rPr>
      </w:pPr>
      <w:r w:rsidRPr="00BD3500">
        <w:rPr>
          <w:rFonts w:ascii="Arial" w:hAnsi="Arial" w:hint="cs"/>
          <w:b/>
          <w:bCs/>
          <w:color w:val="0000FF"/>
          <w:sz w:val="24"/>
          <w:u w:val="single"/>
          <w:rtl/>
        </w:rPr>
        <w:lastRenderedPageBreak/>
        <w:t>פיצוי בסך של כ- 90,000 ₪ לעובדת שפוטרה מעבודתה מחמת הריונה בטרם השלימה 6 חודשי עבודה</w:t>
      </w:r>
    </w:p>
    <w:p w:rsidR="000118BE" w:rsidRPr="009C7A09" w:rsidRDefault="000118BE" w:rsidP="00A8553B">
      <w:pPr>
        <w:tabs>
          <w:tab w:val="left" w:pos="70"/>
        </w:tabs>
        <w:bidi/>
        <w:spacing w:line="360" w:lineRule="auto"/>
        <w:jc w:val="both"/>
        <w:rPr>
          <w:rFonts w:ascii="Arial" w:hAnsi="Arial"/>
          <w:b/>
          <w:bCs/>
          <w:color w:val="008000"/>
          <w:sz w:val="24"/>
          <w:u w:val="single"/>
        </w:rPr>
      </w:pPr>
    </w:p>
    <w:p w:rsidR="000118BE" w:rsidRPr="00EC42CF" w:rsidRDefault="000118BE" w:rsidP="00A8553B">
      <w:pPr>
        <w:bidi/>
        <w:spacing w:line="360" w:lineRule="auto"/>
        <w:ind w:left="-86"/>
        <w:jc w:val="both"/>
        <w:rPr>
          <w:b/>
          <w:bCs/>
          <w:sz w:val="24"/>
          <w:rtl/>
        </w:rPr>
      </w:pPr>
      <w:r w:rsidRPr="00EC42CF">
        <w:rPr>
          <w:rFonts w:hint="cs"/>
          <w:b/>
          <w:bCs/>
          <w:sz w:val="24"/>
          <w:rtl/>
        </w:rPr>
        <w:t xml:space="preserve">בית הדין לעבודה דחה ברובה תביעת עובדת מחשוב, שפוטרה מעבודתה ב"בזק" במסגרת פיטורי צמצום, ועתרה לחייב את החברה לשלם לה פיצויים בגין עילות שונות הנובעות מפיטוריה, כגון פיטורים שלא כדין, בניגוד לחוק השוויון, בניגוד לחוק עבודת נשים, תוך אי מתן הזדמנות להיפרד מחבריה ותוך מחיקת ה"משתמש" במחשב האישי. בית הדין פסק כי לא נפל פגם בפיטוריה של העובדת, וכי החוק אוסר, אמנם, על פיטורים או על הודעה על סיום העבודה במהלך חופשת הלידה ובתקופה המוגנת, אך אינו אוסר על מעסיק לנקוט הליכים בקשר לפיטורים. יתכן ובמקרה בו הפיטורים נעשים מטעמים אישיים, יעלו הנסיבות כדי חוסר תום לב אילו יחל הליך הפיטורים לפי תום התקופה המוגנת, אך במקרה שלפנינו מדובר בפיטורי צמצום שנעשו כדין. </w:t>
      </w:r>
    </w:p>
    <w:p w:rsidR="000118BE" w:rsidRPr="00CD13D1" w:rsidRDefault="000118BE" w:rsidP="00A8553B">
      <w:pPr>
        <w:bidi/>
        <w:spacing w:line="360" w:lineRule="auto"/>
        <w:ind w:left="-86"/>
        <w:jc w:val="both"/>
        <w:rPr>
          <w:b/>
          <w:bCs/>
          <w:szCs w:val="28"/>
        </w:rPr>
      </w:pPr>
      <w:r w:rsidRPr="00EC42CF">
        <w:rPr>
          <w:rFonts w:hint="cs"/>
          <w:b/>
          <w:bCs/>
          <w:sz w:val="24"/>
          <w:rtl/>
        </w:rPr>
        <w:t>בית הדין דחה את רוב עילות התביעה, בכללן את הטענה כי לא ניתנה לעובדת הזדמנות להיפרד מחבריה לעבודה, שכן טענה זו לא הוכחה, מה גם שלא הייתה כל מניעה מהתובעת להיכנס למשרדי החברה - להבדיל מהמניעה להיכנס למחשב האישי. יחד עם זאת, בית הדין חייב את "בזק" בפיצוי בגין מחיקת ה"משתמש" במחשב האישי של העובדת ובגין אובדן המידע האישי שהיה שמור בו. בית הדין פסק, כי יש להבחין בין "סגירת משתמש" לבין מחיקת המידע הקשור ל"משתמש". בהינתן כי לא נאסר על עובדי החברה לשמור מידע אישי במחשבים, הרי שהיה על "בזק" - טרם ביצוע פעולה של מחיקה - להתריע בפני העובדת ולהותיר לה שהות לגיבוי המידע האישי. הדבר דומה לכך שעובד ישמור את חפציו האישיים במגירת השולחן, והמעביד ישליכם ויגרום לאובדנם טרם מתן הזדמנות להוציאם. העובדה שעסקינן במידע אישי מגנטי אינה משנה מהעיקרון הבסיסי האמור. לאור זאת, בית הדין פסק לתובעת פיצוי בסך של 5,000 ₪ בגין נזק לא ממוני של עגמת נפש, שנגרמה כתוצאה ממחיקת המידע האישי מהמחשב שלה.</w:t>
      </w:r>
      <w:r w:rsidRPr="00CD13D1">
        <w:rPr>
          <w:rFonts w:hint="cs"/>
          <w:b/>
          <w:bCs/>
          <w:szCs w:val="28"/>
          <w:rtl/>
        </w:rPr>
        <w:t xml:space="preserve"> </w:t>
      </w:r>
    </w:p>
    <w:p w:rsidR="000118BE" w:rsidRDefault="000118BE" w:rsidP="00A8553B">
      <w:pPr>
        <w:bidi/>
        <w:spacing w:line="360" w:lineRule="auto"/>
        <w:ind w:left="-86"/>
        <w:jc w:val="both"/>
        <w:rPr>
          <w:b/>
          <w:bCs/>
          <w:sz w:val="22"/>
          <w:szCs w:val="22"/>
          <w:rtl/>
        </w:rPr>
      </w:pPr>
      <w:r w:rsidRPr="00EC42CF">
        <w:rPr>
          <w:rFonts w:ascii="David" w:hAnsi="David"/>
          <w:sz w:val="22"/>
          <w:szCs w:val="22"/>
          <w:rtl/>
        </w:rPr>
        <w:t>תע"א</w:t>
      </w:r>
      <w:r w:rsidRPr="00EC42CF">
        <w:rPr>
          <w:rFonts w:ascii="David" w:hAnsi="David" w:hint="cs"/>
          <w:sz w:val="22"/>
          <w:szCs w:val="22"/>
          <w:rtl/>
        </w:rPr>
        <w:t xml:space="preserve"> (ת"א)</w:t>
      </w:r>
      <w:r w:rsidRPr="00EC42CF">
        <w:rPr>
          <w:rFonts w:ascii="David" w:hAnsi="David"/>
          <w:sz w:val="22"/>
          <w:szCs w:val="22"/>
          <w:rtl/>
        </w:rPr>
        <w:t xml:space="preserve"> 2349-09</w:t>
      </w:r>
      <w:r w:rsidRPr="00EC42CF">
        <w:rPr>
          <w:rFonts w:ascii="David" w:hAnsi="David" w:hint="cs"/>
          <w:sz w:val="22"/>
          <w:szCs w:val="22"/>
          <w:rtl/>
        </w:rPr>
        <w:t xml:space="preserve"> </w:t>
      </w:r>
      <w:r w:rsidRPr="00EC42CF">
        <w:rPr>
          <w:b/>
          <w:bCs/>
          <w:color w:val="FF0000"/>
          <w:sz w:val="22"/>
          <w:szCs w:val="22"/>
        </w:rPr>
        <w:t>●</w:t>
      </w:r>
      <w:r w:rsidRPr="00EC42CF">
        <w:rPr>
          <w:rFonts w:ascii="David" w:hAnsi="David" w:hint="cs"/>
          <w:b/>
          <w:bCs/>
          <w:sz w:val="22"/>
          <w:szCs w:val="22"/>
          <w:rtl/>
        </w:rPr>
        <w:t xml:space="preserve"> </w:t>
      </w:r>
      <w:r w:rsidRPr="008469B5">
        <w:rPr>
          <w:rFonts w:ascii="David" w:hAnsi="David" w:hint="cs"/>
          <w:b/>
          <w:bCs/>
          <w:color w:val="FF0000"/>
          <w:sz w:val="22"/>
          <w:szCs w:val="22"/>
          <w:rtl/>
        </w:rPr>
        <w:t>פובולוצקי יוליה נ' בזק</w:t>
      </w:r>
      <w:r w:rsidRPr="008469B5">
        <w:rPr>
          <w:rFonts w:ascii="David" w:hAnsi="David" w:hint="cs"/>
          <w:color w:val="FF0000"/>
          <w:sz w:val="22"/>
          <w:szCs w:val="22"/>
          <w:rtl/>
        </w:rPr>
        <w:t xml:space="preserve"> </w:t>
      </w:r>
      <w:r w:rsidRPr="00EC42CF">
        <w:rPr>
          <w:rFonts w:ascii="David" w:hAnsi="David" w:hint="cs"/>
          <w:sz w:val="22"/>
          <w:szCs w:val="22"/>
          <w:rtl/>
        </w:rPr>
        <w:t xml:space="preserve">(21.7.13) </w:t>
      </w:r>
      <w:r w:rsidRPr="00EC42CF">
        <w:rPr>
          <w:rFonts w:ascii="David" w:hAnsi="David"/>
          <w:sz w:val="22"/>
          <w:szCs w:val="22"/>
        </w:rPr>
        <w:t xml:space="preserve"> </w:t>
      </w:r>
      <w:r w:rsidRPr="00EC42CF">
        <w:rPr>
          <w:color w:val="FF0000"/>
          <w:sz w:val="22"/>
          <w:szCs w:val="22"/>
        </w:rPr>
        <w:t>●</w:t>
      </w:r>
      <w:r w:rsidRPr="00EC42CF">
        <w:rPr>
          <w:rFonts w:ascii="David" w:hAnsi="David" w:hint="cs"/>
          <w:sz w:val="22"/>
          <w:szCs w:val="22"/>
          <w:rtl/>
        </w:rPr>
        <w:t>בפני כבוד השופט אילן איטח, נ.ע. גב' נילי שביט, נ.מ. מר מאיר און</w:t>
      </w:r>
    </w:p>
    <w:p w:rsidR="000118BE" w:rsidRDefault="000118BE" w:rsidP="00A8553B">
      <w:pPr>
        <w:bidi/>
        <w:spacing w:line="360" w:lineRule="auto"/>
        <w:ind w:left="-86"/>
        <w:jc w:val="both"/>
        <w:rPr>
          <w:b/>
          <w:bCs/>
          <w:sz w:val="22"/>
          <w:szCs w:val="22"/>
          <w:rtl/>
        </w:rPr>
      </w:pPr>
    </w:p>
    <w:p w:rsidR="000118BE" w:rsidRPr="00BD3500" w:rsidRDefault="000118BE" w:rsidP="00A8553B">
      <w:pPr>
        <w:numPr>
          <w:ilvl w:val="0"/>
          <w:numId w:val="18"/>
        </w:numPr>
        <w:tabs>
          <w:tab w:val="left" w:pos="70"/>
        </w:tabs>
        <w:bidi/>
        <w:spacing w:line="360" w:lineRule="auto"/>
        <w:ind w:hanging="496"/>
        <w:jc w:val="both"/>
        <w:rPr>
          <w:rFonts w:ascii="Arial" w:hAnsi="Arial"/>
          <w:b/>
          <w:bCs/>
          <w:color w:val="0000FF"/>
          <w:sz w:val="24"/>
          <w:u w:val="single"/>
          <w:rtl/>
        </w:rPr>
      </w:pPr>
      <w:r w:rsidRPr="00BD3500">
        <w:rPr>
          <w:rFonts w:ascii="Arial" w:hAnsi="Arial" w:hint="cs"/>
          <w:b/>
          <w:bCs/>
          <w:color w:val="0000FF"/>
          <w:sz w:val="24"/>
          <w:u w:val="single"/>
          <w:rtl/>
        </w:rPr>
        <w:t>כ-100,000 ₪ נפסקו לעובדת בהריון שפוטרה יום לפני שמלאו לה שישה חודשי עבודה בחברה</w:t>
      </w:r>
    </w:p>
    <w:p w:rsidR="000118BE" w:rsidRPr="009C7A09" w:rsidRDefault="000118BE" w:rsidP="00A8553B">
      <w:pPr>
        <w:tabs>
          <w:tab w:val="left" w:pos="70"/>
        </w:tabs>
        <w:bidi/>
        <w:spacing w:line="360" w:lineRule="auto"/>
        <w:jc w:val="both"/>
        <w:rPr>
          <w:rFonts w:ascii="Arial" w:hAnsi="Arial"/>
          <w:b/>
          <w:bCs/>
          <w:color w:val="008000"/>
          <w:sz w:val="24"/>
          <w:u w:val="single"/>
        </w:rPr>
      </w:pPr>
    </w:p>
    <w:p w:rsidR="000118BE" w:rsidRPr="00CB4C1C" w:rsidRDefault="000118BE" w:rsidP="00A8553B">
      <w:pPr>
        <w:bidi/>
        <w:spacing w:line="360" w:lineRule="auto"/>
        <w:ind w:left="-86"/>
        <w:jc w:val="both"/>
        <w:rPr>
          <w:b/>
          <w:bCs/>
          <w:sz w:val="24"/>
          <w:rtl/>
        </w:rPr>
      </w:pPr>
      <w:r w:rsidRPr="00CB4C1C">
        <w:rPr>
          <w:rFonts w:hint="cs"/>
          <w:b/>
          <w:bCs/>
          <w:sz w:val="24"/>
          <w:rtl/>
        </w:rPr>
        <w:t>בית-הדין האזורי לעבודה קבע כי העובדת</w:t>
      </w:r>
      <w:r w:rsidRPr="00CB4C1C">
        <w:rPr>
          <w:b/>
          <w:bCs/>
          <w:sz w:val="24"/>
          <w:rtl/>
        </w:rPr>
        <w:t xml:space="preserve"> </w:t>
      </w:r>
      <w:r w:rsidRPr="00CB4C1C">
        <w:rPr>
          <w:rFonts w:hint="cs"/>
          <w:b/>
          <w:bCs/>
          <w:sz w:val="24"/>
          <w:rtl/>
        </w:rPr>
        <w:t>הוכיחה לכאורה כי לא הייתה בהתנהגותה סיבה לפיטוריה על-פי חוק שוויון הזדמנויות בעבודה, ולכן נקבע כי נטל ההוכחה עובר אל החברה להוכיח אחרת. מאחר שה</w:t>
      </w:r>
      <w:r w:rsidRPr="00CB4C1C">
        <w:rPr>
          <w:b/>
          <w:bCs/>
          <w:sz w:val="24"/>
          <w:rtl/>
        </w:rPr>
        <w:t xml:space="preserve">הודעה </w:t>
      </w:r>
      <w:r w:rsidRPr="00CB4C1C">
        <w:rPr>
          <w:rFonts w:hint="cs"/>
          <w:b/>
          <w:bCs/>
          <w:sz w:val="24"/>
          <w:rtl/>
        </w:rPr>
        <w:t>בדבר</w:t>
      </w:r>
      <w:r w:rsidRPr="00CB4C1C">
        <w:rPr>
          <w:b/>
          <w:bCs/>
          <w:sz w:val="24"/>
          <w:rtl/>
        </w:rPr>
        <w:t xml:space="preserve"> פיטורי</w:t>
      </w:r>
      <w:r w:rsidRPr="00CB4C1C">
        <w:rPr>
          <w:rFonts w:hint="cs"/>
          <w:b/>
          <w:bCs/>
          <w:sz w:val="24"/>
          <w:rtl/>
        </w:rPr>
        <w:t xml:space="preserve"> העובדת ניתנה</w:t>
      </w:r>
      <w:r w:rsidRPr="00CB4C1C">
        <w:rPr>
          <w:b/>
          <w:bCs/>
          <w:sz w:val="24"/>
          <w:rtl/>
        </w:rPr>
        <w:t xml:space="preserve"> </w:t>
      </w:r>
      <w:r w:rsidRPr="00CB4C1C">
        <w:rPr>
          <w:rFonts w:hint="cs"/>
          <w:b/>
          <w:bCs/>
          <w:sz w:val="24"/>
          <w:rtl/>
        </w:rPr>
        <w:t>לה יומיים</w:t>
      </w:r>
      <w:r w:rsidRPr="00CB4C1C">
        <w:rPr>
          <w:b/>
          <w:bCs/>
          <w:sz w:val="24"/>
          <w:rtl/>
        </w:rPr>
        <w:t xml:space="preserve"> בלבד לאחר שהודיעה על הריונה</w:t>
      </w:r>
      <w:r w:rsidRPr="00CB4C1C">
        <w:rPr>
          <w:rFonts w:hint="cs"/>
          <w:b/>
          <w:bCs/>
          <w:sz w:val="24"/>
          <w:rtl/>
        </w:rPr>
        <w:t>, ומאחר ש</w:t>
      </w:r>
      <w:r w:rsidRPr="00CB4C1C">
        <w:rPr>
          <w:b/>
          <w:bCs/>
          <w:sz w:val="24"/>
          <w:rtl/>
        </w:rPr>
        <w:t xml:space="preserve">לא הוגש כל תיעוד בכתב המבסס קבלת </w:t>
      </w:r>
      <w:r w:rsidRPr="00CB4C1C">
        <w:rPr>
          <w:rFonts w:hint="cs"/>
          <w:b/>
          <w:bCs/>
          <w:sz w:val="24"/>
          <w:rtl/>
        </w:rPr>
        <w:t>ה</w:t>
      </w:r>
      <w:r w:rsidRPr="00CB4C1C">
        <w:rPr>
          <w:b/>
          <w:bCs/>
          <w:sz w:val="24"/>
          <w:rtl/>
        </w:rPr>
        <w:t>החלטה לפטר</w:t>
      </w:r>
      <w:r w:rsidRPr="00CB4C1C">
        <w:rPr>
          <w:rFonts w:hint="cs"/>
          <w:b/>
          <w:bCs/>
          <w:sz w:val="24"/>
          <w:rtl/>
        </w:rPr>
        <w:t xml:space="preserve"> את העובדת</w:t>
      </w:r>
      <w:r w:rsidRPr="00CB4C1C">
        <w:rPr>
          <w:b/>
          <w:bCs/>
          <w:sz w:val="24"/>
          <w:rtl/>
        </w:rPr>
        <w:t xml:space="preserve"> מטעמים הקשורים בתפקודה </w:t>
      </w:r>
      <w:r w:rsidRPr="00CB4C1C">
        <w:rPr>
          <w:rFonts w:hint="cs"/>
          <w:b/>
          <w:bCs/>
          <w:sz w:val="24"/>
          <w:rtl/>
        </w:rPr>
        <w:t xml:space="preserve">טרם חשיפת </w:t>
      </w:r>
      <w:r w:rsidRPr="00CB4C1C">
        <w:rPr>
          <w:b/>
          <w:bCs/>
          <w:sz w:val="24"/>
          <w:rtl/>
        </w:rPr>
        <w:t xml:space="preserve"> הה</w:t>
      </w:r>
      <w:r w:rsidRPr="00CB4C1C">
        <w:rPr>
          <w:rFonts w:hint="cs"/>
          <w:b/>
          <w:bCs/>
          <w:sz w:val="24"/>
          <w:rtl/>
        </w:rPr>
        <w:t>י</w:t>
      </w:r>
      <w:r w:rsidRPr="00CB4C1C">
        <w:rPr>
          <w:b/>
          <w:bCs/>
          <w:sz w:val="24"/>
          <w:rtl/>
        </w:rPr>
        <w:t>ריון</w:t>
      </w:r>
      <w:r w:rsidRPr="00CB4C1C">
        <w:rPr>
          <w:rFonts w:hint="cs"/>
          <w:b/>
          <w:bCs/>
          <w:sz w:val="24"/>
          <w:rtl/>
        </w:rPr>
        <w:t>, החברה לא הצליחה להוכיח כי פיטורי העובדת נבעו מתפקודה הלקוי. יתרה מכך, אילו החברה לא</w:t>
      </w:r>
      <w:r w:rsidRPr="00CB4C1C">
        <w:rPr>
          <w:b/>
          <w:bCs/>
          <w:sz w:val="24"/>
          <w:rtl/>
        </w:rPr>
        <w:t xml:space="preserve"> ה</w:t>
      </w:r>
      <w:r w:rsidRPr="00CB4C1C">
        <w:rPr>
          <w:rFonts w:hint="cs"/>
          <w:b/>
          <w:bCs/>
          <w:sz w:val="24"/>
          <w:rtl/>
        </w:rPr>
        <w:t>י</w:t>
      </w:r>
      <w:r w:rsidRPr="00CB4C1C">
        <w:rPr>
          <w:b/>
          <w:bCs/>
          <w:sz w:val="24"/>
          <w:rtl/>
        </w:rPr>
        <w:t>יתה שבעת רצון מתפקוד ה</w:t>
      </w:r>
      <w:r w:rsidRPr="00CB4C1C">
        <w:rPr>
          <w:rFonts w:hint="cs"/>
          <w:b/>
          <w:bCs/>
          <w:sz w:val="24"/>
          <w:rtl/>
        </w:rPr>
        <w:t>עובדת</w:t>
      </w:r>
      <w:r w:rsidRPr="00CB4C1C">
        <w:rPr>
          <w:b/>
          <w:bCs/>
          <w:sz w:val="24"/>
          <w:rtl/>
        </w:rPr>
        <w:t>,</w:t>
      </w:r>
      <w:r w:rsidRPr="00CB4C1C">
        <w:rPr>
          <w:rFonts w:hint="cs"/>
          <w:b/>
          <w:bCs/>
          <w:sz w:val="24"/>
          <w:rtl/>
        </w:rPr>
        <w:t xml:space="preserve"> היא לא הייתה נותנת לעובדת </w:t>
      </w:r>
      <w:r w:rsidRPr="00CB4C1C">
        <w:rPr>
          <w:b/>
          <w:bCs/>
          <w:sz w:val="24"/>
          <w:rtl/>
        </w:rPr>
        <w:t>למעלה מעשרה ימי הודעה מוקדמת</w:t>
      </w:r>
      <w:r w:rsidRPr="00CB4C1C">
        <w:rPr>
          <w:rFonts w:hint="cs"/>
          <w:b/>
          <w:bCs/>
          <w:sz w:val="24"/>
          <w:rtl/>
        </w:rPr>
        <w:t xml:space="preserve"> בפועל</w:t>
      </w:r>
      <w:r w:rsidRPr="00CB4C1C">
        <w:rPr>
          <w:b/>
          <w:bCs/>
          <w:sz w:val="24"/>
          <w:rtl/>
        </w:rPr>
        <w:t>,</w:t>
      </w:r>
      <w:r w:rsidRPr="00CB4C1C">
        <w:rPr>
          <w:rFonts w:hint="cs"/>
          <w:b/>
          <w:bCs/>
          <w:sz w:val="24"/>
          <w:rtl/>
        </w:rPr>
        <w:t xml:space="preserve"> כאשר על-פי חוק</w:t>
      </w:r>
      <w:r w:rsidRPr="00CB4C1C">
        <w:rPr>
          <w:b/>
          <w:bCs/>
          <w:sz w:val="24"/>
          <w:rtl/>
        </w:rPr>
        <w:t xml:space="preserve"> הודעה מוקדמת, </w:t>
      </w:r>
      <w:r w:rsidRPr="00CB4C1C">
        <w:rPr>
          <w:rFonts w:hint="cs"/>
          <w:b/>
          <w:bCs/>
          <w:sz w:val="24"/>
          <w:rtl/>
        </w:rPr>
        <w:t>עמד מניין</w:t>
      </w:r>
      <w:r w:rsidRPr="00CB4C1C">
        <w:rPr>
          <w:b/>
          <w:bCs/>
          <w:sz w:val="24"/>
          <w:rtl/>
        </w:rPr>
        <w:t xml:space="preserve"> </w:t>
      </w:r>
      <w:r w:rsidRPr="00CB4C1C">
        <w:rPr>
          <w:rFonts w:hint="cs"/>
          <w:b/>
          <w:bCs/>
          <w:sz w:val="24"/>
          <w:rtl/>
        </w:rPr>
        <w:t>ה</w:t>
      </w:r>
      <w:r w:rsidRPr="00CB4C1C">
        <w:rPr>
          <w:b/>
          <w:bCs/>
          <w:sz w:val="24"/>
          <w:rtl/>
        </w:rPr>
        <w:t>ימים</w:t>
      </w:r>
      <w:r w:rsidRPr="00CB4C1C">
        <w:rPr>
          <w:rFonts w:hint="cs"/>
          <w:b/>
          <w:bCs/>
          <w:sz w:val="24"/>
          <w:rtl/>
        </w:rPr>
        <w:t xml:space="preserve"> על 5 ימים</w:t>
      </w:r>
      <w:r w:rsidRPr="00CB4C1C">
        <w:rPr>
          <w:b/>
          <w:bCs/>
          <w:sz w:val="24"/>
          <w:rtl/>
        </w:rPr>
        <w:t xml:space="preserve"> בלבד</w:t>
      </w:r>
      <w:r w:rsidRPr="00CB4C1C">
        <w:rPr>
          <w:rFonts w:hint="cs"/>
          <w:b/>
          <w:bCs/>
          <w:sz w:val="24"/>
          <w:rtl/>
        </w:rPr>
        <w:t>.</w:t>
      </w:r>
      <w:r w:rsidRPr="00CB4C1C">
        <w:rPr>
          <w:b/>
          <w:bCs/>
          <w:sz w:val="24"/>
          <w:rtl/>
        </w:rPr>
        <w:t xml:space="preserve"> </w:t>
      </w:r>
      <w:r w:rsidRPr="00CB4C1C">
        <w:rPr>
          <w:rFonts w:hint="cs"/>
          <w:b/>
          <w:bCs/>
          <w:sz w:val="24"/>
          <w:rtl/>
        </w:rPr>
        <w:t xml:space="preserve">כמו כן </w:t>
      </w:r>
      <w:r w:rsidRPr="00CB4C1C">
        <w:rPr>
          <w:rFonts w:hint="cs"/>
          <w:b/>
          <w:bCs/>
          <w:sz w:val="24"/>
          <w:rtl/>
        </w:rPr>
        <w:lastRenderedPageBreak/>
        <w:t xml:space="preserve">נקבע כי </w:t>
      </w:r>
      <w:r w:rsidRPr="00CB4C1C">
        <w:rPr>
          <w:b/>
          <w:bCs/>
          <w:sz w:val="24"/>
          <w:rtl/>
        </w:rPr>
        <w:t>בנסיבות בהן ל</w:t>
      </w:r>
      <w:r w:rsidRPr="00CB4C1C">
        <w:rPr>
          <w:rFonts w:hint="cs"/>
          <w:b/>
          <w:bCs/>
          <w:sz w:val="24"/>
          <w:rtl/>
        </w:rPr>
        <w:t>עובדת</w:t>
      </w:r>
      <w:r w:rsidRPr="00CB4C1C">
        <w:rPr>
          <w:b/>
          <w:bCs/>
          <w:sz w:val="24"/>
          <w:rtl/>
        </w:rPr>
        <w:t xml:space="preserve">, עורכת דין בהכשרתה, אשר </w:t>
      </w:r>
      <w:r w:rsidRPr="00CB4C1C">
        <w:rPr>
          <w:rFonts w:hint="cs"/>
          <w:b/>
          <w:bCs/>
          <w:sz w:val="24"/>
          <w:rtl/>
        </w:rPr>
        <w:t>התקבלה לעבודה</w:t>
      </w:r>
      <w:r w:rsidRPr="00CB4C1C">
        <w:rPr>
          <w:b/>
          <w:bCs/>
          <w:sz w:val="24"/>
          <w:rtl/>
        </w:rPr>
        <w:t xml:space="preserve"> </w:t>
      </w:r>
      <w:r w:rsidRPr="00CB4C1C">
        <w:rPr>
          <w:rFonts w:hint="cs"/>
          <w:b/>
          <w:bCs/>
          <w:sz w:val="24"/>
          <w:rtl/>
        </w:rPr>
        <w:t>כ</w:t>
      </w:r>
      <w:r w:rsidRPr="00CB4C1C">
        <w:rPr>
          <w:b/>
          <w:bCs/>
          <w:sz w:val="24"/>
          <w:rtl/>
        </w:rPr>
        <w:t xml:space="preserve">רכזת שירות וייעוץ משפטי הוצע </w:t>
      </w:r>
      <w:r w:rsidRPr="00CB4C1C">
        <w:rPr>
          <w:rFonts w:hint="cs"/>
          <w:b/>
          <w:bCs/>
          <w:sz w:val="24"/>
          <w:rtl/>
        </w:rPr>
        <w:t>לעבוד כ</w:t>
      </w:r>
      <w:r w:rsidRPr="00CB4C1C">
        <w:rPr>
          <w:b/>
          <w:bCs/>
          <w:sz w:val="24"/>
          <w:rtl/>
        </w:rPr>
        <w:t>מוקדנית</w:t>
      </w:r>
      <w:r w:rsidRPr="00CB4C1C">
        <w:rPr>
          <w:rFonts w:hint="cs"/>
          <w:b/>
          <w:bCs/>
          <w:sz w:val="24"/>
          <w:rtl/>
        </w:rPr>
        <w:t>,</w:t>
      </w:r>
      <w:r w:rsidRPr="00CB4C1C">
        <w:rPr>
          <w:b/>
          <w:bCs/>
          <w:sz w:val="24"/>
          <w:rtl/>
        </w:rPr>
        <w:t xml:space="preserve"> תפקיד </w:t>
      </w:r>
      <w:r w:rsidRPr="00CB4C1C">
        <w:rPr>
          <w:rFonts w:hint="cs"/>
          <w:b/>
          <w:bCs/>
          <w:sz w:val="24"/>
          <w:rtl/>
        </w:rPr>
        <w:t xml:space="preserve">אשר </w:t>
      </w:r>
      <w:r w:rsidRPr="00CB4C1C">
        <w:rPr>
          <w:b/>
          <w:bCs/>
          <w:sz w:val="24"/>
          <w:rtl/>
        </w:rPr>
        <w:t>אינו הולם את כישוריה</w:t>
      </w:r>
      <w:r w:rsidRPr="00CB4C1C">
        <w:rPr>
          <w:rFonts w:hint="cs"/>
          <w:b/>
          <w:bCs/>
          <w:sz w:val="24"/>
          <w:rtl/>
        </w:rPr>
        <w:t xml:space="preserve"> והכשרתה,</w:t>
      </w:r>
      <w:r w:rsidRPr="00CB4C1C">
        <w:rPr>
          <w:b/>
          <w:bCs/>
          <w:sz w:val="24"/>
          <w:rtl/>
        </w:rPr>
        <w:t xml:space="preserve"> </w:t>
      </w:r>
      <w:r w:rsidRPr="00CB4C1C">
        <w:rPr>
          <w:rFonts w:hint="cs"/>
          <w:b/>
          <w:bCs/>
          <w:sz w:val="24"/>
          <w:rtl/>
        </w:rPr>
        <w:t>אין לייחס לחברה רצון אמתי ממשי,  להמשיך ולהעסיק את העובדת.</w:t>
      </w:r>
      <w:r w:rsidRPr="00CB4C1C">
        <w:rPr>
          <w:b/>
          <w:bCs/>
          <w:sz w:val="24"/>
          <w:rtl/>
        </w:rPr>
        <w:t xml:space="preserve"> </w:t>
      </w:r>
      <w:r w:rsidRPr="00CB4C1C">
        <w:rPr>
          <w:rFonts w:hint="cs"/>
          <w:b/>
          <w:bCs/>
          <w:sz w:val="24"/>
          <w:rtl/>
        </w:rPr>
        <w:t>כמו כן, בית-הדין קבע כי טענת החברה</w:t>
      </w:r>
      <w:r w:rsidRPr="00CB4C1C">
        <w:rPr>
          <w:b/>
          <w:bCs/>
          <w:sz w:val="24"/>
          <w:rtl/>
        </w:rPr>
        <w:t xml:space="preserve">, כי </w:t>
      </w:r>
      <w:r w:rsidRPr="00CB4C1C">
        <w:rPr>
          <w:rFonts w:hint="cs"/>
          <w:b/>
          <w:bCs/>
          <w:sz w:val="24"/>
          <w:rtl/>
        </w:rPr>
        <w:t>העובדת ל</w:t>
      </w:r>
      <w:r w:rsidRPr="00CB4C1C">
        <w:rPr>
          <w:b/>
          <w:bCs/>
          <w:sz w:val="24"/>
          <w:rtl/>
        </w:rPr>
        <w:t xml:space="preserve">א השלימה שישה חודשי העסקה </w:t>
      </w:r>
      <w:r w:rsidRPr="00CB4C1C">
        <w:rPr>
          <w:rFonts w:hint="cs"/>
          <w:b/>
          <w:bCs/>
          <w:sz w:val="24"/>
          <w:rtl/>
        </w:rPr>
        <w:t>מלאים שעה שחסר יום אחד בלבד להשלמת התקופה, הינה</w:t>
      </w:r>
      <w:r w:rsidRPr="00CB4C1C">
        <w:rPr>
          <w:b/>
          <w:bCs/>
          <w:sz w:val="24"/>
          <w:rtl/>
        </w:rPr>
        <w:t xml:space="preserve"> טענה חסרת תום לב המעידה על ניסיון </w:t>
      </w:r>
      <w:r w:rsidRPr="00CB4C1C">
        <w:rPr>
          <w:rFonts w:hint="cs"/>
          <w:b/>
          <w:bCs/>
          <w:sz w:val="24"/>
          <w:rtl/>
        </w:rPr>
        <w:t>להתחמק מקבלת</w:t>
      </w:r>
      <w:r w:rsidRPr="00CB4C1C">
        <w:rPr>
          <w:b/>
          <w:bCs/>
          <w:sz w:val="24"/>
          <w:rtl/>
        </w:rPr>
        <w:t xml:space="preserve"> היתר לפיטורי ה</w:t>
      </w:r>
      <w:r w:rsidRPr="00CB4C1C">
        <w:rPr>
          <w:rFonts w:hint="cs"/>
          <w:b/>
          <w:bCs/>
          <w:sz w:val="24"/>
          <w:rtl/>
        </w:rPr>
        <w:t>עובדת</w:t>
      </w:r>
      <w:r w:rsidRPr="00CB4C1C">
        <w:rPr>
          <w:b/>
          <w:bCs/>
          <w:sz w:val="24"/>
          <w:rtl/>
        </w:rPr>
        <w:t xml:space="preserve"> בהיותה בהריון</w:t>
      </w:r>
      <w:r w:rsidRPr="00CB4C1C">
        <w:rPr>
          <w:rFonts w:hint="cs"/>
          <w:b/>
          <w:bCs/>
          <w:sz w:val="24"/>
          <w:rtl/>
        </w:rPr>
        <w:t xml:space="preserve"> ולעקוף את הוראות </w:t>
      </w:r>
      <w:hyperlink r:id="rId30" w:history="1">
        <w:r w:rsidRPr="00CB4C1C">
          <w:rPr>
            <w:rFonts w:hint="eastAsia"/>
            <w:b/>
            <w:bCs/>
            <w:sz w:val="24"/>
            <w:rtl/>
          </w:rPr>
          <w:t>חוק</w:t>
        </w:r>
        <w:r w:rsidRPr="00CB4C1C">
          <w:rPr>
            <w:b/>
            <w:bCs/>
            <w:sz w:val="24"/>
            <w:rtl/>
          </w:rPr>
          <w:t xml:space="preserve"> עבודת נשים</w:t>
        </w:r>
      </w:hyperlink>
      <w:r w:rsidRPr="00CB4C1C">
        <w:rPr>
          <w:rFonts w:hint="cs"/>
          <w:b/>
          <w:bCs/>
          <w:sz w:val="24"/>
          <w:rtl/>
        </w:rPr>
        <w:t xml:space="preserve">. בנוסף, החברה אף הגדילה לעשות והקדימה את מועד סיום יחסי העבודה באופן חד צדדי על-ידי ויתור על תקופת ההודעה המוקדמת בפועל, יום לאחר קבלת מכתב ב"כ העובדת ולכן נקבע כי העובדת הצליחה להוכיח כי </w:t>
      </w:r>
      <w:r w:rsidRPr="00CB4C1C">
        <w:rPr>
          <w:b/>
          <w:bCs/>
          <w:sz w:val="24"/>
          <w:rtl/>
        </w:rPr>
        <w:t>פוטרה סמוך ל 6 חודשי העסקה</w:t>
      </w:r>
      <w:r w:rsidRPr="00CB4C1C">
        <w:rPr>
          <w:rFonts w:hint="cs"/>
          <w:b/>
          <w:bCs/>
          <w:sz w:val="24"/>
          <w:rtl/>
        </w:rPr>
        <w:t xml:space="preserve">, </w:t>
      </w:r>
      <w:r w:rsidRPr="00CB4C1C">
        <w:rPr>
          <w:b/>
          <w:bCs/>
          <w:sz w:val="24"/>
          <w:rtl/>
        </w:rPr>
        <w:t>במטרה לעקוף את</w:t>
      </w:r>
      <w:r w:rsidRPr="00CB4C1C">
        <w:rPr>
          <w:rFonts w:hint="cs"/>
          <w:b/>
          <w:bCs/>
          <w:sz w:val="24"/>
          <w:rtl/>
        </w:rPr>
        <w:t xml:space="preserve"> הוראות </w:t>
      </w:r>
      <w:r w:rsidRPr="00CB4C1C">
        <w:rPr>
          <w:b/>
          <w:bCs/>
          <w:sz w:val="24"/>
          <w:rtl/>
        </w:rPr>
        <w:t xml:space="preserve"> </w:t>
      </w:r>
      <w:hyperlink r:id="rId31" w:history="1">
        <w:r w:rsidRPr="00CB4C1C">
          <w:rPr>
            <w:b/>
            <w:bCs/>
            <w:sz w:val="24"/>
            <w:rtl/>
          </w:rPr>
          <w:t>חוק עבודת נשים</w:t>
        </w:r>
      </w:hyperlink>
      <w:r w:rsidRPr="00CB4C1C">
        <w:rPr>
          <w:b/>
          <w:bCs/>
          <w:sz w:val="24"/>
          <w:rtl/>
        </w:rPr>
        <w:t xml:space="preserve">. </w:t>
      </w:r>
      <w:r w:rsidRPr="00CB4C1C">
        <w:rPr>
          <w:rFonts w:hint="cs"/>
          <w:b/>
          <w:bCs/>
          <w:sz w:val="24"/>
          <w:rtl/>
        </w:rPr>
        <w:t xml:space="preserve">בית-הדין קבע כי החברה תשלם לעובדת 30,000 ₪ פיצוי בגין הפסד השתכרות ממועד הפיטורים ועד הלידה, 14,000 ₪ פיצוי בגין הפסד השתכרות בתקופה המוגנת לאחר חופשת הלידה, 40,000 ₪ פיצוי בגין נזק לא ממוני, 16,000 ₪ הוצאות משפט וכן תשלומים סוציאליים נוספים. </w:t>
      </w:r>
    </w:p>
    <w:p w:rsidR="000118BE" w:rsidRPr="00EC42CF" w:rsidRDefault="000118BE" w:rsidP="00A8553B">
      <w:pPr>
        <w:bidi/>
        <w:spacing w:line="360" w:lineRule="auto"/>
        <w:ind w:left="-86"/>
        <w:jc w:val="both"/>
        <w:rPr>
          <w:b/>
          <w:bCs/>
          <w:sz w:val="22"/>
          <w:szCs w:val="22"/>
          <w:rtl/>
        </w:rPr>
      </w:pPr>
      <w:r>
        <w:rPr>
          <w:rFonts w:ascii="David" w:hAnsi="David"/>
          <w:color w:val="000000"/>
          <w:sz w:val="22"/>
          <w:szCs w:val="22"/>
          <w:rtl/>
        </w:rPr>
        <w:t>תעא (ת"א) 3404-10</w:t>
      </w:r>
      <w:r w:rsidRPr="007D1A23">
        <w:rPr>
          <w:color w:val="FF0000"/>
          <w:sz w:val="22"/>
          <w:szCs w:val="22"/>
        </w:rPr>
        <w:t xml:space="preserve">● </w:t>
      </w:r>
      <w:r w:rsidRPr="007D1A23">
        <w:rPr>
          <w:rFonts w:hint="cs"/>
          <w:color w:val="2B003A"/>
          <w:sz w:val="22"/>
          <w:szCs w:val="22"/>
          <w:rtl/>
        </w:rPr>
        <w:t xml:space="preserve"> </w:t>
      </w:r>
      <w:r w:rsidRPr="008469B5">
        <w:rPr>
          <w:rFonts w:ascii="David" w:hAnsi="David"/>
          <w:b/>
          <w:bCs/>
          <w:color w:val="FF0000"/>
          <w:sz w:val="22"/>
          <w:szCs w:val="22"/>
          <w:rtl/>
        </w:rPr>
        <w:t>אלה גרינברג-נחשון נ' פרופורציה פי אם</w:t>
      </w:r>
      <w:r w:rsidRPr="008469B5">
        <w:rPr>
          <w:rFonts w:ascii="David" w:hAnsi="David" w:hint="cs"/>
          <w:b/>
          <w:bCs/>
          <w:color w:val="FF0000"/>
          <w:sz w:val="22"/>
          <w:szCs w:val="22"/>
          <w:rtl/>
        </w:rPr>
        <w:t xml:space="preserve"> </w:t>
      </w:r>
      <w:r w:rsidRPr="0048743E">
        <w:rPr>
          <w:rFonts w:ascii="David" w:hAnsi="David" w:hint="cs"/>
          <w:color w:val="000000"/>
          <w:sz w:val="22"/>
          <w:szCs w:val="22"/>
          <w:rtl/>
        </w:rPr>
        <w:t>(</w:t>
      </w:r>
      <w:r>
        <w:rPr>
          <w:rFonts w:ascii="David" w:hAnsi="David" w:hint="cs"/>
          <w:color w:val="000000"/>
          <w:sz w:val="22"/>
          <w:szCs w:val="22"/>
          <w:rtl/>
        </w:rPr>
        <w:t>18.6</w:t>
      </w:r>
      <w:r w:rsidRPr="0048743E">
        <w:rPr>
          <w:rFonts w:ascii="David" w:hAnsi="David" w:hint="cs"/>
          <w:color w:val="000000"/>
          <w:sz w:val="22"/>
          <w:szCs w:val="22"/>
          <w:rtl/>
        </w:rPr>
        <w:t>.13</w:t>
      </w:r>
      <w:r w:rsidRPr="007D1A23">
        <w:rPr>
          <w:rFonts w:hint="cs"/>
          <w:color w:val="2B003A"/>
          <w:sz w:val="22"/>
          <w:szCs w:val="22"/>
          <w:rtl/>
        </w:rPr>
        <w:t xml:space="preserve">) </w:t>
      </w:r>
      <w:r w:rsidRPr="007D1A23">
        <w:rPr>
          <w:color w:val="FF0000"/>
          <w:sz w:val="22"/>
          <w:szCs w:val="22"/>
        </w:rPr>
        <w:t>●</w:t>
      </w:r>
      <w:r w:rsidRPr="007D1A23">
        <w:rPr>
          <w:rFonts w:hint="cs"/>
          <w:color w:val="2B003A"/>
          <w:sz w:val="22"/>
          <w:szCs w:val="22"/>
          <w:rtl/>
        </w:rPr>
        <w:t xml:space="preserve"> </w:t>
      </w:r>
      <w:r w:rsidRPr="0048743E">
        <w:rPr>
          <w:rFonts w:ascii="David" w:hAnsi="David" w:hint="cs"/>
          <w:color w:val="000000"/>
          <w:sz w:val="22"/>
          <w:szCs w:val="22"/>
          <w:rtl/>
        </w:rPr>
        <w:t xml:space="preserve">בפני כבוד </w:t>
      </w:r>
      <w:r>
        <w:rPr>
          <w:rFonts w:ascii="David" w:hAnsi="David" w:hint="cs"/>
          <w:color w:val="000000"/>
          <w:sz w:val="22"/>
          <w:szCs w:val="22"/>
          <w:rtl/>
        </w:rPr>
        <w:t>השופטת רוית צדיק, נ.ע גב' אירית אינהורן נחמני, נ.מ מר דן זלינגר</w:t>
      </w:r>
    </w:p>
    <w:p w:rsidR="000118BE" w:rsidRPr="00AB2927" w:rsidRDefault="000118BE" w:rsidP="00A8553B">
      <w:pPr>
        <w:tabs>
          <w:tab w:val="num" w:pos="224"/>
        </w:tabs>
        <w:bidi/>
        <w:spacing w:line="360" w:lineRule="auto"/>
        <w:ind w:left="224"/>
        <w:jc w:val="both"/>
        <w:outlineLvl w:val="1"/>
        <w:rPr>
          <w:rFonts w:ascii="David" w:hAnsi="David"/>
          <w:b/>
          <w:bCs/>
          <w:sz w:val="36"/>
          <w:szCs w:val="30"/>
          <w:u w:val="single"/>
        </w:rPr>
      </w:pPr>
      <w:r w:rsidRPr="00AB2927">
        <w:rPr>
          <w:rFonts w:ascii="David" w:hAnsi="David"/>
          <w:b/>
          <w:bCs/>
          <w:sz w:val="36"/>
          <w:szCs w:val="30"/>
          <w:u w:val="single"/>
          <w:rtl/>
        </w:rPr>
        <w:fldChar w:fldCharType="begin"/>
      </w:r>
      <w:r w:rsidRPr="00AB2927">
        <w:rPr>
          <w:rFonts w:ascii="David" w:hAnsi="David"/>
          <w:b/>
          <w:bCs/>
          <w:sz w:val="36"/>
          <w:szCs w:val="30"/>
          <w:u w:val="single"/>
        </w:rPr>
        <w:instrText xml:space="preserve"> TC "</w:instrText>
      </w:r>
      <w:bookmarkStart w:id="118" w:name="_Toc228528541"/>
      <w:r w:rsidRPr="00AB2927">
        <w:rPr>
          <w:rFonts w:ascii="David" w:hAnsi="David" w:hint="cs"/>
          <w:b/>
          <w:bCs/>
          <w:sz w:val="36"/>
          <w:szCs w:val="30"/>
          <w:u w:val="single"/>
          <w:rtl/>
        </w:rPr>
        <w:instrText>פיטורי עובדת בהריון/טיפולי פוריות</w:instrText>
      </w:r>
      <w:bookmarkEnd w:id="118"/>
      <w:r w:rsidRPr="00AB2927">
        <w:rPr>
          <w:rFonts w:ascii="David" w:hAnsi="David"/>
          <w:b/>
          <w:bCs/>
          <w:sz w:val="36"/>
          <w:szCs w:val="30"/>
          <w:u w:val="single"/>
        </w:rPr>
        <w:instrText xml:space="preserve">" \f C \l "1" </w:instrText>
      </w:r>
      <w:r w:rsidRPr="00AB2927">
        <w:rPr>
          <w:rFonts w:ascii="David" w:hAnsi="David"/>
          <w:b/>
          <w:bCs/>
          <w:sz w:val="36"/>
          <w:szCs w:val="30"/>
          <w:u w:val="single"/>
          <w:rtl/>
        </w:rPr>
        <w:fldChar w:fldCharType="end"/>
      </w:r>
    </w:p>
    <w:p w:rsidR="000118BE" w:rsidRDefault="000118BE" w:rsidP="00A8553B">
      <w:pPr>
        <w:numPr>
          <w:ilvl w:val="0"/>
          <w:numId w:val="10"/>
        </w:numPr>
        <w:bidi/>
        <w:spacing w:line="360" w:lineRule="auto"/>
        <w:jc w:val="both"/>
        <w:outlineLvl w:val="2"/>
        <w:rPr>
          <w:rFonts w:ascii="David" w:hAnsi="David"/>
          <w:b/>
          <w:bCs/>
          <w:color w:val="FF0000"/>
          <w:sz w:val="32"/>
          <w:szCs w:val="26"/>
          <w:u w:val="single"/>
        </w:rPr>
      </w:pPr>
      <w:bookmarkStart w:id="119" w:name="_Toc228152695"/>
      <w:bookmarkStart w:id="120" w:name="_Toc383530631"/>
      <w:bookmarkStart w:id="121" w:name="_Toc383587176"/>
      <w:bookmarkStart w:id="122" w:name="_Toc383587381"/>
      <w:bookmarkStart w:id="123" w:name="_Toc383587823"/>
      <w:r>
        <w:rPr>
          <w:rFonts w:ascii="David" w:hAnsi="David" w:hint="cs"/>
          <w:b/>
          <w:bCs/>
          <w:color w:val="FF0000"/>
          <w:sz w:val="32"/>
          <w:szCs w:val="26"/>
          <w:u w:val="single"/>
          <w:rtl/>
        </w:rPr>
        <w:t>אפליה</w:t>
      </w:r>
      <w:bookmarkEnd w:id="119"/>
      <w:r>
        <w:rPr>
          <w:rFonts w:ascii="David" w:hAnsi="David" w:hint="cs"/>
          <w:b/>
          <w:bCs/>
          <w:color w:val="FF0000"/>
          <w:sz w:val="32"/>
          <w:szCs w:val="26"/>
          <w:u w:val="single"/>
          <w:rtl/>
        </w:rPr>
        <w:t xml:space="preserve"> מחמת גיל/מין/מוגבלות/הורות והיריון</w:t>
      </w:r>
      <w:bookmarkEnd w:id="120"/>
      <w:bookmarkEnd w:id="121"/>
      <w:bookmarkEnd w:id="122"/>
      <w:bookmarkEnd w:id="123"/>
      <w:r>
        <w:rPr>
          <w:rFonts w:ascii="David" w:hAnsi="David"/>
          <w:b/>
          <w:bCs/>
          <w:color w:val="FF0000"/>
          <w:sz w:val="32"/>
          <w:szCs w:val="26"/>
          <w:u w:val="single"/>
          <w:rtl/>
        </w:rPr>
        <w:fldChar w:fldCharType="begin"/>
      </w:r>
      <w:r>
        <w:instrText xml:space="preserve"> TC "</w:instrText>
      </w:r>
      <w:bookmarkStart w:id="124" w:name="_Toc228528542"/>
      <w:r w:rsidRPr="00171021">
        <w:rPr>
          <w:rFonts w:ascii="David" w:hAnsi="David" w:hint="cs"/>
          <w:b/>
          <w:bCs/>
          <w:color w:val="FF0000"/>
          <w:sz w:val="32"/>
          <w:szCs w:val="26"/>
          <w:u w:val="single"/>
          <w:rtl/>
        </w:rPr>
        <w:instrText>אפליה מחמת גיל/מין</w:instrText>
      </w:r>
      <w:bookmarkEnd w:id="124"/>
      <w:r>
        <w:instrText xml:space="preserve">" \f C \l "1" </w:instrText>
      </w:r>
      <w:r>
        <w:rPr>
          <w:rFonts w:ascii="David" w:hAnsi="David"/>
          <w:b/>
          <w:bCs/>
          <w:color w:val="FF0000"/>
          <w:sz w:val="32"/>
          <w:szCs w:val="26"/>
          <w:u w:val="single"/>
          <w:rtl/>
        </w:rPr>
        <w:fldChar w:fldCharType="end"/>
      </w:r>
      <w:r>
        <w:rPr>
          <w:rFonts w:ascii="David" w:hAnsi="David" w:hint="cs"/>
          <w:b/>
          <w:bCs/>
          <w:color w:val="FF0000"/>
          <w:sz w:val="32"/>
          <w:szCs w:val="26"/>
          <w:u w:val="single"/>
          <w:rtl/>
        </w:rPr>
        <w:t xml:space="preserve"> </w:t>
      </w:r>
    </w:p>
    <w:p w:rsidR="000118BE" w:rsidRDefault="000118BE" w:rsidP="00A8553B">
      <w:pPr>
        <w:bidi/>
        <w:spacing w:line="360" w:lineRule="auto"/>
        <w:jc w:val="both"/>
        <w:outlineLvl w:val="2"/>
        <w:rPr>
          <w:rFonts w:ascii="David" w:hAnsi="David"/>
          <w:b/>
          <w:bCs/>
          <w:color w:val="FF0000"/>
          <w:sz w:val="32"/>
          <w:szCs w:val="26"/>
          <w:u w:val="single"/>
        </w:rPr>
      </w:pPr>
    </w:p>
    <w:p w:rsidR="000118BE" w:rsidRPr="00BD3500" w:rsidRDefault="000118BE" w:rsidP="00A8553B">
      <w:pPr>
        <w:numPr>
          <w:ilvl w:val="0"/>
          <w:numId w:val="16"/>
        </w:numPr>
        <w:tabs>
          <w:tab w:val="clear" w:pos="970"/>
          <w:tab w:val="num" w:pos="764"/>
        </w:tabs>
        <w:bidi/>
        <w:spacing w:line="360" w:lineRule="auto"/>
        <w:ind w:hanging="746"/>
        <w:jc w:val="both"/>
        <w:rPr>
          <w:color w:val="0000FF"/>
          <w:sz w:val="24"/>
        </w:rPr>
      </w:pPr>
      <w:r w:rsidRPr="00BD3500">
        <w:rPr>
          <w:rFonts w:ascii="Arial" w:hAnsi="Arial" w:hint="cs"/>
          <w:b/>
          <w:bCs/>
          <w:color w:val="0000FF"/>
          <w:sz w:val="24"/>
          <w:u w:val="single"/>
          <w:rtl/>
        </w:rPr>
        <w:t>כ-300,000 ₪ נפסקו לעובד שפוטר שלא כדין מחמת גיל ולפני השימוע</w:t>
      </w:r>
    </w:p>
    <w:p w:rsidR="000118BE" w:rsidRPr="001C6305" w:rsidRDefault="000118BE" w:rsidP="00A8553B">
      <w:pPr>
        <w:tabs>
          <w:tab w:val="num" w:pos="764"/>
        </w:tabs>
        <w:bidi/>
        <w:spacing w:line="360" w:lineRule="auto"/>
        <w:ind w:left="224"/>
        <w:jc w:val="both"/>
        <w:rPr>
          <w:sz w:val="24"/>
        </w:rPr>
      </w:pPr>
    </w:p>
    <w:p w:rsidR="000118BE" w:rsidRDefault="000118BE" w:rsidP="00A8553B">
      <w:pPr>
        <w:tabs>
          <w:tab w:val="left" w:pos="-102"/>
        </w:tabs>
        <w:bidi/>
        <w:spacing w:line="360" w:lineRule="auto"/>
        <w:ind w:left="-101"/>
        <w:jc w:val="both"/>
        <w:rPr>
          <w:b/>
          <w:bCs/>
          <w:sz w:val="24"/>
          <w:rtl/>
        </w:rPr>
      </w:pPr>
      <w:r w:rsidRPr="001C6305">
        <w:rPr>
          <w:rFonts w:hint="cs"/>
          <w:b/>
          <w:bCs/>
          <w:sz w:val="24"/>
          <w:rtl/>
        </w:rPr>
        <w:t>עובד בן 63 שפוטר ממקום עבודתו, לאחר 29 שנות עבודה, הגיש תביעה נגד המעסיקה לתשלום פיצויים. לטענתו, פיטוריו נעשו תוך הפליה פסולה מחמת גיל, בחוסר תום לב ומשיקולים זרים.</w:t>
      </w:r>
    </w:p>
    <w:p w:rsidR="000118BE" w:rsidRDefault="000118BE" w:rsidP="00A8553B">
      <w:pPr>
        <w:tabs>
          <w:tab w:val="left" w:pos="-102"/>
        </w:tabs>
        <w:bidi/>
        <w:spacing w:line="360" w:lineRule="auto"/>
        <w:ind w:left="-101"/>
        <w:jc w:val="both"/>
        <w:rPr>
          <w:b/>
          <w:bCs/>
          <w:sz w:val="24"/>
          <w:rtl/>
        </w:rPr>
      </w:pPr>
      <w:r w:rsidRPr="001C6305">
        <w:rPr>
          <w:rFonts w:hint="cs"/>
          <w:b/>
          <w:bCs/>
          <w:sz w:val="24"/>
          <w:rtl/>
        </w:rPr>
        <w:t>לטענת המעסיקה, העובד פוטר עקב התייעלות ארגונית, צמצום עלויות וביטול המשרה המיותרת</w:t>
      </w:r>
      <w:r>
        <w:rPr>
          <w:rFonts w:hint="cs"/>
          <w:b/>
          <w:bCs/>
          <w:sz w:val="24"/>
          <w:rtl/>
        </w:rPr>
        <w:t>.</w:t>
      </w:r>
    </w:p>
    <w:p w:rsidR="000118BE" w:rsidRPr="001C6305" w:rsidRDefault="000118BE" w:rsidP="00A8553B">
      <w:pPr>
        <w:tabs>
          <w:tab w:val="left" w:pos="-102"/>
        </w:tabs>
        <w:bidi/>
        <w:spacing w:line="360" w:lineRule="auto"/>
        <w:ind w:left="-101"/>
        <w:jc w:val="both"/>
        <w:rPr>
          <w:b/>
          <w:bCs/>
          <w:sz w:val="24"/>
          <w:rtl/>
        </w:rPr>
      </w:pPr>
      <w:r w:rsidRPr="001C6305">
        <w:rPr>
          <w:rFonts w:hint="cs"/>
          <w:b/>
          <w:bCs/>
          <w:sz w:val="24"/>
          <w:rtl/>
        </w:rPr>
        <w:t xml:space="preserve">על פי סעיף 2 לחוק שוויון הזדמנויות בעבודה, מעביד לא יפלה בין עובדיו, בין היתר, מחמת גילם.  על פי סעיף 9(א) לחוק, די בכך שהעובד יוכיח כי לא היה במעשיו או בהתנהגותו סיבה לפיטוריו, על מנת להעביר את נטל ההוכחה למעביד, לשכנע כי העובד לא פוטר מחמת גילו. </w:t>
      </w:r>
    </w:p>
    <w:p w:rsidR="000118BE" w:rsidRPr="001C6305" w:rsidRDefault="000118BE" w:rsidP="00A8553B">
      <w:pPr>
        <w:tabs>
          <w:tab w:val="left" w:pos="-102"/>
        </w:tabs>
        <w:bidi/>
        <w:spacing w:line="360" w:lineRule="auto"/>
        <w:ind w:left="-101"/>
        <w:jc w:val="both"/>
        <w:rPr>
          <w:b/>
          <w:bCs/>
          <w:sz w:val="24"/>
          <w:rtl/>
        </w:rPr>
      </w:pPr>
      <w:r w:rsidRPr="001C6305">
        <w:rPr>
          <w:rFonts w:hint="cs"/>
          <w:b/>
          <w:bCs/>
          <w:sz w:val="24"/>
          <w:rtl/>
        </w:rPr>
        <w:t xml:space="preserve">בענייננו, נטל ההוכחה הועבר למעסיקה, לאחר שהעובד הוכיח כי לא היה בהתנהלותו סיבה לפיטוריו. אולם, המעסיקה לא הוכיחה כי גילו של העובד לא נלקח בין השיקולים אשר הביאו להחלטה לפטרו כעובד יחיד מבין 1,200 עובדיה. </w:t>
      </w:r>
    </w:p>
    <w:p w:rsidR="000118BE" w:rsidRPr="001C6305" w:rsidRDefault="000118BE" w:rsidP="00A8553B">
      <w:pPr>
        <w:tabs>
          <w:tab w:val="left" w:pos="-102"/>
        </w:tabs>
        <w:bidi/>
        <w:spacing w:line="360" w:lineRule="auto"/>
        <w:ind w:left="-101"/>
        <w:jc w:val="both"/>
        <w:rPr>
          <w:b/>
          <w:bCs/>
          <w:sz w:val="24"/>
          <w:rtl/>
        </w:rPr>
      </w:pPr>
      <w:r w:rsidRPr="001C6305">
        <w:rPr>
          <w:rFonts w:hint="cs"/>
          <w:b/>
          <w:bCs/>
          <w:sz w:val="24"/>
          <w:rtl/>
        </w:rPr>
        <w:t>בית הדין האזורי קיבל את התביעה ופסק כי העובד פוטר שלא כדין. לפיכך, זכאי העובד לפיצויים מכוח חוק שוויון הזדמנויות בעבודה בסך 50,000 ₪, פיצוי בגין פיטורין בחוסר תום לב ופיצוי בגין עגמת נפש, בגובה 7 משכורות, בסך הכל 190,000 ₪. בנוסף, פסק בית הדין פיצוי בגין פגם בהליך השימוע בסך 50,000 ₪, לאחר שהוכח כי ההחלטה על פיטורי העובד הוכרעה עוד בטרם התקיים שימוע והוצאות משפט בסך 30,000 ₪.</w:t>
      </w:r>
    </w:p>
    <w:p w:rsidR="000118BE" w:rsidRPr="00DD54F5" w:rsidRDefault="000118BE" w:rsidP="00A8553B">
      <w:pPr>
        <w:tabs>
          <w:tab w:val="left" w:pos="90"/>
        </w:tabs>
        <w:bidi/>
        <w:spacing w:line="360" w:lineRule="auto"/>
        <w:ind w:left="-90"/>
        <w:jc w:val="both"/>
        <w:rPr>
          <w:sz w:val="22"/>
          <w:szCs w:val="22"/>
          <w:rtl/>
          <w:lang w:eastAsia="he-IL"/>
        </w:rPr>
      </w:pPr>
      <w:r w:rsidRPr="00DD54F5">
        <w:rPr>
          <w:rFonts w:hint="cs"/>
          <w:sz w:val="22"/>
          <w:szCs w:val="22"/>
          <w:rtl/>
        </w:rPr>
        <w:t xml:space="preserve">סע (ת"א) 47439-08-11 </w:t>
      </w:r>
      <w:r w:rsidRPr="00DD54F5">
        <w:rPr>
          <w:color w:val="FF0000"/>
          <w:sz w:val="22"/>
          <w:szCs w:val="22"/>
        </w:rPr>
        <w:t>●</w:t>
      </w:r>
      <w:r w:rsidRPr="00DD54F5">
        <w:rPr>
          <w:rFonts w:hint="cs"/>
          <w:b/>
          <w:bCs/>
          <w:sz w:val="22"/>
          <w:szCs w:val="22"/>
          <w:rtl/>
        </w:rPr>
        <w:t xml:space="preserve"> </w:t>
      </w:r>
      <w:r w:rsidRPr="008469B5">
        <w:rPr>
          <w:rFonts w:hint="cs"/>
          <w:b/>
          <w:bCs/>
          <w:color w:val="FF0000"/>
          <w:sz w:val="22"/>
          <w:szCs w:val="22"/>
          <w:rtl/>
        </w:rPr>
        <w:t xml:space="preserve">מאיר שגיא נ' אפקון החזקות בע"מ </w:t>
      </w:r>
      <w:r w:rsidRPr="00DD54F5">
        <w:rPr>
          <w:rFonts w:hint="cs"/>
          <w:sz w:val="22"/>
          <w:szCs w:val="22"/>
          <w:rtl/>
        </w:rPr>
        <w:t xml:space="preserve">(29.12.13) </w:t>
      </w:r>
      <w:r w:rsidRPr="00DD54F5">
        <w:rPr>
          <w:sz w:val="22"/>
          <w:szCs w:val="22"/>
        </w:rPr>
        <w:t xml:space="preserve"> </w:t>
      </w:r>
      <w:r w:rsidRPr="00DD54F5">
        <w:rPr>
          <w:color w:val="FF0000"/>
          <w:sz w:val="22"/>
          <w:szCs w:val="22"/>
        </w:rPr>
        <w:t>●</w:t>
      </w:r>
      <w:r w:rsidRPr="00DD54F5">
        <w:rPr>
          <w:rFonts w:hint="cs"/>
          <w:sz w:val="22"/>
          <w:szCs w:val="22"/>
          <w:rtl/>
        </w:rPr>
        <w:t>בפני כבוד השופטת אורנית אגסי, נ.ע. גב' נילי מאיר, נ.מ. מר יואל שפרלינג</w:t>
      </w:r>
    </w:p>
    <w:p w:rsidR="000118BE" w:rsidRPr="00BD3500" w:rsidRDefault="000118BE" w:rsidP="00A8553B">
      <w:pPr>
        <w:tabs>
          <w:tab w:val="left" w:pos="90"/>
        </w:tabs>
        <w:bidi/>
        <w:spacing w:line="360" w:lineRule="auto"/>
        <w:ind w:left="-90"/>
        <w:jc w:val="both"/>
        <w:rPr>
          <w:color w:val="0000FF"/>
          <w:sz w:val="22"/>
          <w:szCs w:val="22"/>
          <w:rtl/>
          <w:lang w:eastAsia="he-IL"/>
        </w:rPr>
      </w:pPr>
    </w:p>
    <w:p w:rsidR="000118BE" w:rsidRPr="00BD3500" w:rsidRDefault="000118BE" w:rsidP="00A8553B">
      <w:pPr>
        <w:numPr>
          <w:ilvl w:val="0"/>
          <w:numId w:val="16"/>
        </w:numPr>
        <w:tabs>
          <w:tab w:val="clear" w:pos="970"/>
          <w:tab w:val="num" w:pos="764"/>
        </w:tabs>
        <w:bidi/>
        <w:spacing w:line="360" w:lineRule="auto"/>
        <w:ind w:left="764" w:hanging="540"/>
        <w:jc w:val="both"/>
        <w:rPr>
          <w:rFonts w:ascii="Arial" w:hAnsi="Arial"/>
          <w:b/>
          <w:bCs/>
          <w:color w:val="0000FF"/>
          <w:sz w:val="24"/>
          <w:u w:val="single"/>
          <w:rtl/>
        </w:rPr>
      </w:pPr>
      <w:r w:rsidRPr="00BD3500">
        <w:rPr>
          <w:rFonts w:ascii="Arial" w:hAnsi="Arial" w:hint="cs"/>
          <w:b/>
          <w:bCs/>
          <w:color w:val="0000FF"/>
          <w:sz w:val="24"/>
          <w:u w:val="single"/>
          <w:rtl/>
        </w:rPr>
        <w:lastRenderedPageBreak/>
        <w:t>בית הדין דחה את טענת כתבי העיתונות לאפליה על רקע גיל ונטייה מינית</w:t>
      </w:r>
    </w:p>
    <w:p w:rsidR="000118BE" w:rsidRPr="009C7A09" w:rsidRDefault="000118BE" w:rsidP="00A8553B">
      <w:pPr>
        <w:tabs>
          <w:tab w:val="left" w:pos="70"/>
        </w:tabs>
        <w:bidi/>
        <w:spacing w:line="360" w:lineRule="auto"/>
        <w:ind w:left="-110"/>
        <w:jc w:val="both"/>
        <w:rPr>
          <w:rFonts w:cs="FrankRuehl"/>
          <w:b/>
          <w:bCs/>
          <w:sz w:val="24"/>
          <w:rtl/>
        </w:rPr>
      </w:pPr>
    </w:p>
    <w:p w:rsidR="000118BE" w:rsidRDefault="000118BE" w:rsidP="00A8553B">
      <w:pPr>
        <w:tabs>
          <w:tab w:val="left" w:pos="-110"/>
        </w:tabs>
        <w:bidi/>
        <w:spacing w:line="360" w:lineRule="auto"/>
        <w:ind w:left="72"/>
        <w:jc w:val="both"/>
        <w:rPr>
          <w:b/>
          <w:bCs/>
          <w:rtl/>
        </w:rPr>
      </w:pPr>
      <w:r w:rsidRPr="000325B7">
        <w:rPr>
          <w:rFonts w:hint="cs"/>
          <w:b/>
          <w:bCs/>
          <w:rtl/>
        </w:rPr>
        <w:t xml:space="preserve">התובעים, שישה במספר, עבדו ככתבים בעיתון פנאי פלוס. לטענתם, העורכת החדשה של העיתון, הגב' וייס, ביקשה "להצעיר" את העיתון ולהביא כתבים מהקהילה הגאה, ולפיכך הם פוטרו בשל גילם המבוגר ובשל היותם בעלי העדפה מינית "סטרייטית". כמו כן, לא נערך להם שימוע כדין. </w:t>
      </w:r>
    </w:p>
    <w:p w:rsidR="000118BE" w:rsidRDefault="000118BE" w:rsidP="00A8553B">
      <w:pPr>
        <w:tabs>
          <w:tab w:val="left" w:pos="-110"/>
        </w:tabs>
        <w:bidi/>
        <w:spacing w:line="360" w:lineRule="auto"/>
        <w:ind w:left="72"/>
        <w:jc w:val="both"/>
        <w:rPr>
          <w:b/>
          <w:bCs/>
          <w:rtl/>
        </w:rPr>
      </w:pPr>
      <w:r w:rsidRPr="000325B7">
        <w:rPr>
          <w:rFonts w:hint="cs"/>
          <w:b/>
          <w:bCs/>
          <w:rtl/>
        </w:rPr>
        <w:t>על פי סעיף 2(א) לחוק שוויון הזדמנויות בעבודה, השתמ"ח- 1988, לאחר שיעמדו התובעים בנטל ההוכחה הראשוני להראות שלא היה בהתנהגותם סיבה לפיטורים, יעבור הנטל אל המעסיקה להוכיח שהתובעים לא הופלו בפיטוריהם מחמת גילם או נטייתם המינית.</w:t>
      </w:r>
    </w:p>
    <w:p w:rsidR="0060178B" w:rsidRDefault="000118BE" w:rsidP="0060178B">
      <w:pPr>
        <w:tabs>
          <w:tab w:val="left" w:pos="-110"/>
        </w:tabs>
        <w:bidi/>
        <w:spacing w:line="360" w:lineRule="auto"/>
        <w:ind w:left="72"/>
        <w:jc w:val="both"/>
        <w:rPr>
          <w:b/>
          <w:bCs/>
          <w:rtl/>
        </w:rPr>
      </w:pPr>
      <w:r w:rsidRPr="000325B7">
        <w:rPr>
          <w:rFonts w:hint="cs"/>
          <w:b/>
          <w:bCs/>
          <w:rtl/>
        </w:rPr>
        <w:t xml:space="preserve">בית הדין דחה את טענת התובעים מחמת הפליה לפי חוק שוויון הזדמנויות ופסק כי הנתבעת הוכיחה שההחלטה לסיים את העסקתם של התובעים נבעה משיקולים ענייניים ומקצועיים על רקע שינויים ארגוניים ומערכתיים שנעשו בעיתון, במטרה </w:t>
      </w:r>
      <w:r w:rsidRPr="000325B7">
        <w:rPr>
          <w:b/>
          <w:bCs/>
          <w:rtl/>
        </w:rPr>
        <w:t xml:space="preserve">להפוך את העיתון </w:t>
      </w:r>
      <w:r w:rsidRPr="000325B7">
        <w:rPr>
          <w:rFonts w:hint="cs"/>
          <w:b/>
          <w:bCs/>
          <w:rtl/>
        </w:rPr>
        <w:t>מ</w:t>
      </w:r>
      <w:r w:rsidRPr="000325B7">
        <w:rPr>
          <w:b/>
          <w:bCs/>
          <w:rtl/>
        </w:rPr>
        <w:t>"מדריך טלוויזיה"</w:t>
      </w:r>
      <w:r w:rsidRPr="000325B7">
        <w:rPr>
          <w:rFonts w:hint="cs"/>
          <w:b/>
          <w:bCs/>
          <w:rtl/>
        </w:rPr>
        <w:t>,</w:t>
      </w:r>
      <w:r w:rsidRPr="000325B7">
        <w:rPr>
          <w:b/>
          <w:bCs/>
          <w:rtl/>
        </w:rPr>
        <w:t xml:space="preserve"> למגזין חדשני ועדכני</w:t>
      </w:r>
      <w:r w:rsidRPr="000325B7">
        <w:rPr>
          <w:rFonts w:hint="cs"/>
          <w:b/>
          <w:bCs/>
          <w:rtl/>
        </w:rPr>
        <w:t>,</w:t>
      </w:r>
      <w:r w:rsidRPr="000325B7">
        <w:rPr>
          <w:b/>
          <w:bCs/>
          <w:rtl/>
        </w:rPr>
        <w:t xml:space="preserve"> עם רכילויות וכתבות תחקיר בתחום הבידור.</w:t>
      </w:r>
      <w:r w:rsidR="0060178B">
        <w:rPr>
          <w:rFonts w:hint="cs"/>
          <w:b/>
          <w:bCs/>
          <w:rtl/>
        </w:rPr>
        <w:t xml:space="preserve"> </w:t>
      </w:r>
    </w:p>
    <w:p w:rsidR="000118BE" w:rsidRPr="000325B7" w:rsidRDefault="000118BE" w:rsidP="0060178B">
      <w:pPr>
        <w:tabs>
          <w:tab w:val="left" w:pos="-110"/>
        </w:tabs>
        <w:bidi/>
        <w:spacing w:line="360" w:lineRule="auto"/>
        <w:ind w:left="72"/>
        <w:jc w:val="both"/>
        <w:rPr>
          <w:b/>
          <w:bCs/>
          <w:rtl/>
        </w:rPr>
      </w:pPr>
      <w:r w:rsidRPr="000325B7">
        <w:rPr>
          <w:rFonts w:hint="cs"/>
          <w:b/>
          <w:bCs/>
          <w:rtl/>
        </w:rPr>
        <w:t xml:space="preserve">עם זאת, בית הדין פסק לתובעים פיצויים בגין פיטורים בהיעדר שימוע, מאחר ולא הוכח כי התובעים זומנו לשימוע כדין. </w:t>
      </w:r>
    </w:p>
    <w:p w:rsidR="000118BE" w:rsidRPr="000325B7" w:rsidRDefault="000118BE" w:rsidP="00A8553B">
      <w:pPr>
        <w:tabs>
          <w:tab w:val="left" w:pos="-110"/>
        </w:tabs>
        <w:bidi/>
        <w:spacing w:line="360" w:lineRule="auto"/>
        <w:ind w:left="72"/>
        <w:jc w:val="both"/>
        <w:rPr>
          <w:b/>
          <w:bCs/>
          <w:sz w:val="22"/>
          <w:szCs w:val="22"/>
          <w:rtl/>
        </w:rPr>
      </w:pPr>
      <w:r w:rsidRPr="000325B7">
        <w:rPr>
          <w:rFonts w:hint="cs"/>
          <w:sz w:val="22"/>
          <w:szCs w:val="22"/>
          <w:rtl/>
        </w:rPr>
        <w:t xml:space="preserve">תע"א (ת"א) 4028/06 </w:t>
      </w:r>
      <w:r w:rsidRPr="000325B7">
        <w:rPr>
          <w:color w:val="FF0000"/>
          <w:sz w:val="22"/>
          <w:szCs w:val="22"/>
        </w:rPr>
        <w:t>●</w:t>
      </w:r>
      <w:r w:rsidRPr="000325B7">
        <w:rPr>
          <w:rFonts w:hint="cs"/>
          <w:b/>
          <w:bCs/>
          <w:sz w:val="22"/>
          <w:szCs w:val="22"/>
          <w:rtl/>
        </w:rPr>
        <w:t xml:space="preserve"> </w:t>
      </w:r>
      <w:r w:rsidRPr="008469B5">
        <w:rPr>
          <w:rFonts w:hint="cs"/>
          <w:b/>
          <w:bCs/>
          <w:color w:val="FF0000"/>
          <w:sz w:val="22"/>
          <w:szCs w:val="22"/>
          <w:rtl/>
        </w:rPr>
        <w:t>רינת גור נ' מדריכי פנאי, שותפות רשומה</w:t>
      </w:r>
      <w:r w:rsidRPr="008469B5">
        <w:rPr>
          <w:rFonts w:hint="cs"/>
          <w:color w:val="FF0000"/>
          <w:sz w:val="22"/>
          <w:szCs w:val="22"/>
          <w:rtl/>
        </w:rPr>
        <w:t xml:space="preserve"> </w:t>
      </w:r>
      <w:r w:rsidRPr="000325B7">
        <w:rPr>
          <w:rFonts w:hint="cs"/>
          <w:sz w:val="22"/>
          <w:szCs w:val="22"/>
          <w:rtl/>
        </w:rPr>
        <w:t xml:space="preserve">(1.10.13) </w:t>
      </w:r>
      <w:r w:rsidRPr="000325B7">
        <w:rPr>
          <w:sz w:val="22"/>
          <w:szCs w:val="22"/>
        </w:rPr>
        <w:t xml:space="preserve"> </w:t>
      </w:r>
      <w:r w:rsidRPr="000325B7">
        <w:rPr>
          <w:color w:val="FF0000"/>
          <w:sz w:val="22"/>
          <w:szCs w:val="22"/>
        </w:rPr>
        <w:t>●</w:t>
      </w:r>
      <w:r w:rsidRPr="000325B7">
        <w:rPr>
          <w:rFonts w:hint="cs"/>
          <w:sz w:val="22"/>
          <w:szCs w:val="22"/>
          <w:rtl/>
        </w:rPr>
        <w:t>בפני כבוד השופטת מיכל לויט, נ.ע. מר גמליאל, נ.מ. מר מתתיהו</w:t>
      </w:r>
    </w:p>
    <w:p w:rsidR="008F590E" w:rsidRDefault="008F590E" w:rsidP="008469B5">
      <w:pPr>
        <w:tabs>
          <w:tab w:val="left" w:pos="90"/>
        </w:tabs>
        <w:bidi/>
        <w:spacing w:line="360" w:lineRule="auto"/>
        <w:jc w:val="both"/>
        <w:rPr>
          <w:rFonts w:ascii="David" w:hAnsi="David"/>
          <w:color w:val="000000"/>
          <w:sz w:val="22"/>
          <w:szCs w:val="22"/>
          <w:rtl/>
        </w:rPr>
      </w:pPr>
    </w:p>
    <w:p w:rsidR="008469B5" w:rsidRDefault="008469B5" w:rsidP="008469B5">
      <w:pPr>
        <w:tabs>
          <w:tab w:val="left" w:pos="90"/>
        </w:tabs>
        <w:bidi/>
        <w:spacing w:line="360" w:lineRule="auto"/>
        <w:jc w:val="both"/>
        <w:rPr>
          <w:rFonts w:ascii="David" w:hAnsi="David"/>
          <w:color w:val="000000"/>
          <w:sz w:val="22"/>
          <w:szCs w:val="22"/>
          <w:rtl/>
        </w:rPr>
      </w:pPr>
    </w:p>
    <w:p w:rsidR="000118BE" w:rsidRDefault="000118BE" w:rsidP="00A8553B">
      <w:pPr>
        <w:numPr>
          <w:ilvl w:val="0"/>
          <w:numId w:val="10"/>
        </w:numPr>
        <w:bidi/>
        <w:spacing w:line="360" w:lineRule="auto"/>
        <w:jc w:val="both"/>
        <w:outlineLvl w:val="2"/>
        <w:rPr>
          <w:rFonts w:ascii="David" w:hAnsi="David"/>
          <w:b/>
          <w:bCs/>
          <w:color w:val="FF0000"/>
          <w:sz w:val="32"/>
          <w:szCs w:val="26"/>
          <w:u w:val="single"/>
        </w:rPr>
      </w:pPr>
      <w:bookmarkStart w:id="125" w:name="_Toc383530632"/>
      <w:bookmarkStart w:id="126" w:name="_Toc383587177"/>
      <w:bookmarkStart w:id="127" w:name="_Toc383587382"/>
      <w:bookmarkStart w:id="128" w:name="_Toc383587824"/>
      <w:r>
        <w:rPr>
          <w:rFonts w:ascii="David" w:hAnsi="David" w:hint="cs"/>
          <w:b/>
          <w:bCs/>
          <w:color w:val="FF0000"/>
          <w:sz w:val="32"/>
          <w:szCs w:val="26"/>
          <w:u w:val="single"/>
          <w:rtl/>
        </w:rPr>
        <w:t>אפליה מחמת חברות  בוועד העובדים</w:t>
      </w:r>
      <w:bookmarkEnd w:id="125"/>
      <w:bookmarkEnd w:id="126"/>
      <w:bookmarkEnd w:id="127"/>
      <w:bookmarkEnd w:id="128"/>
    </w:p>
    <w:p w:rsidR="000118BE" w:rsidRPr="00BD3500" w:rsidRDefault="000118BE" w:rsidP="00A8553B">
      <w:pPr>
        <w:bidi/>
        <w:spacing w:line="360" w:lineRule="auto"/>
        <w:jc w:val="both"/>
        <w:outlineLvl w:val="2"/>
        <w:rPr>
          <w:rFonts w:ascii="David" w:hAnsi="David"/>
          <w:b/>
          <w:bCs/>
          <w:color w:val="0000FF"/>
          <w:sz w:val="32"/>
          <w:szCs w:val="26"/>
          <w:u w:val="single"/>
        </w:rPr>
      </w:pPr>
    </w:p>
    <w:p w:rsidR="000118BE" w:rsidRPr="00BD3500" w:rsidRDefault="000118BE" w:rsidP="00A8553B">
      <w:pPr>
        <w:numPr>
          <w:ilvl w:val="0"/>
          <w:numId w:val="39"/>
        </w:numPr>
        <w:bidi/>
        <w:spacing w:line="360" w:lineRule="auto"/>
        <w:jc w:val="both"/>
        <w:rPr>
          <w:color w:val="0000FF"/>
          <w:sz w:val="24"/>
        </w:rPr>
      </w:pPr>
      <w:r w:rsidRPr="00BD3500">
        <w:rPr>
          <w:rFonts w:ascii="Arial" w:hAnsi="Arial" w:hint="cs"/>
          <w:b/>
          <w:bCs/>
          <w:color w:val="0000FF"/>
          <w:sz w:val="24"/>
          <w:u w:val="single"/>
          <w:rtl/>
        </w:rPr>
        <w:t>צו לאכיפת העסקת עובד מעריב שלא נקלט בשל היותו יו"ר ועד העובדים</w:t>
      </w:r>
    </w:p>
    <w:p w:rsidR="000118BE" w:rsidRPr="001C6305" w:rsidRDefault="000118BE" w:rsidP="00A8553B">
      <w:pPr>
        <w:tabs>
          <w:tab w:val="num" w:pos="764"/>
        </w:tabs>
        <w:bidi/>
        <w:spacing w:line="360" w:lineRule="auto"/>
        <w:ind w:left="224"/>
        <w:jc w:val="both"/>
        <w:rPr>
          <w:sz w:val="24"/>
        </w:rPr>
      </w:pPr>
    </w:p>
    <w:p w:rsidR="000118BE" w:rsidRPr="00AC25AE" w:rsidRDefault="0060178B" w:rsidP="0060178B">
      <w:pPr>
        <w:tabs>
          <w:tab w:val="left" w:pos="-110"/>
        </w:tabs>
        <w:bidi/>
        <w:spacing w:line="360" w:lineRule="auto"/>
        <w:ind w:left="-101"/>
        <w:jc w:val="both"/>
        <w:rPr>
          <w:b/>
          <w:bCs/>
          <w:sz w:val="24"/>
          <w:rtl/>
        </w:rPr>
      </w:pPr>
      <w:r>
        <w:rPr>
          <w:rFonts w:hint="cs"/>
          <w:b/>
          <w:bCs/>
          <w:sz w:val="24"/>
          <w:rtl/>
        </w:rPr>
        <w:t>בית הדין האזורי</w:t>
      </w:r>
      <w:r w:rsidR="000118BE" w:rsidRPr="00AC25AE">
        <w:rPr>
          <w:rFonts w:hint="cs"/>
          <w:b/>
          <w:bCs/>
          <w:sz w:val="24"/>
          <w:rtl/>
        </w:rPr>
        <w:t xml:space="preserve"> קיבל תביעה של עובד, שטען כי לא נקלט לעבודה בשל היותו יו"ר ועד העובדים. </w:t>
      </w:r>
    </w:p>
    <w:p w:rsidR="0060178B" w:rsidRDefault="000118BE" w:rsidP="00A8553B">
      <w:pPr>
        <w:tabs>
          <w:tab w:val="left" w:pos="-110"/>
        </w:tabs>
        <w:bidi/>
        <w:spacing w:line="360" w:lineRule="auto"/>
        <w:ind w:left="-101"/>
        <w:jc w:val="both"/>
        <w:rPr>
          <w:b/>
          <w:bCs/>
          <w:sz w:val="24"/>
          <w:rtl/>
        </w:rPr>
      </w:pPr>
      <w:r w:rsidRPr="00AC25AE">
        <w:rPr>
          <w:rFonts w:hint="cs"/>
          <w:b/>
          <w:bCs/>
          <w:sz w:val="24"/>
          <w:rtl/>
        </w:rPr>
        <w:t xml:space="preserve">בעקבות קשיים כלכליים אליהם נקלע עיתון מעריב, הועברה השליטה לידי הנתבעת ונחתם הסכם קיבוצי מיוחד בין הצדדים לפיו התחייבה הנתבעת לקלוט לפחות 350 עובדים. התובע, אשר שימש כיו"ר ועד העובדים לא נכלל ברשימת העובדים הנקלטים. לטענת התובע- "כשקולטים 350 עובדים, בסיומו של מאבק איתני כזה, מנהיג ועד העובדים, מחליטים לא לקלוט אותו, צריך לספק הסבר טוב מאוד לבית הדין הזה מדוע". הנתבעת טענה בתגובה כי מתוך שמונה חברי ועד, נקלטו שישה ועל כן, לא ניתן לקבוע כי אי קליטתו נבעה מרצון לפגוע בהתאגדות העובדים. </w:t>
      </w:r>
    </w:p>
    <w:p w:rsidR="000118BE" w:rsidRPr="00AC25AE" w:rsidRDefault="000118BE" w:rsidP="0060178B">
      <w:pPr>
        <w:tabs>
          <w:tab w:val="left" w:pos="-110"/>
        </w:tabs>
        <w:bidi/>
        <w:spacing w:line="360" w:lineRule="auto"/>
        <w:ind w:left="-101"/>
        <w:jc w:val="both"/>
        <w:rPr>
          <w:b/>
          <w:bCs/>
          <w:sz w:val="24"/>
          <w:rtl/>
        </w:rPr>
      </w:pPr>
      <w:r w:rsidRPr="00AC25AE">
        <w:rPr>
          <w:rFonts w:hint="cs"/>
          <w:b/>
          <w:bCs/>
          <w:sz w:val="24"/>
          <w:rtl/>
        </w:rPr>
        <w:t xml:space="preserve">חרף זאת, פסק בית הדין, בהסתמך על הראיות והעדויות, כי הנתבעת ידעה על מעמדו, תרומתו ופועלו של התובע כיו"ר ועד העובדים וכי סירובה של הנתבעת לקלוט את התובע לא נבע מהיעדר תקנים. </w:t>
      </w:r>
    </w:p>
    <w:p w:rsidR="0060178B" w:rsidRDefault="000118BE" w:rsidP="00A8553B">
      <w:pPr>
        <w:tabs>
          <w:tab w:val="left" w:pos="-110"/>
        </w:tabs>
        <w:bidi/>
        <w:spacing w:line="360" w:lineRule="auto"/>
        <w:ind w:left="-101"/>
        <w:jc w:val="both"/>
        <w:rPr>
          <w:b/>
          <w:bCs/>
          <w:sz w:val="24"/>
          <w:rtl/>
        </w:rPr>
      </w:pPr>
      <w:r w:rsidRPr="00AC25AE">
        <w:rPr>
          <w:rFonts w:hint="cs"/>
          <w:b/>
          <w:bCs/>
          <w:sz w:val="24"/>
          <w:rtl/>
        </w:rPr>
        <w:t xml:space="preserve">ההלכה המושרשת היא כי אי קליטתו של עובד למקום עבודה על רקע חברותו בוועד עובדים מהווה פגיעה הן בזכותו האישית של העובד להתאגד והן פגיעה קיבוצית בציבור העובדים. במקרה של טענה לפגיעה בעובד בנסיבות אלו, מתהפך נטל הראיה ועובר מכתפי העובד לכתפי המעסיק. </w:t>
      </w:r>
    </w:p>
    <w:p w:rsidR="000118BE" w:rsidRPr="00AC25AE" w:rsidRDefault="000118BE" w:rsidP="0060178B">
      <w:pPr>
        <w:tabs>
          <w:tab w:val="left" w:pos="-110"/>
        </w:tabs>
        <w:bidi/>
        <w:spacing w:line="360" w:lineRule="auto"/>
        <w:ind w:left="-101"/>
        <w:jc w:val="both"/>
        <w:rPr>
          <w:b/>
          <w:bCs/>
          <w:sz w:val="24"/>
          <w:rtl/>
        </w:rPr>
      </w:pPr>
      <w:r w:rsidRPr="00AC25AE">
        <w:rPr>
          <w:rFonts w:hint="cs"/>
          <w:b/>
          <w:bCs/>
          <w:sz w:val="24"/>
          <w:rtl/>
        </w:rPr>
        <w:lastRenderedPageBreak/>
        <w:t xml:space="preserve">בענייננו, המעסיק לא עמד בנטל הראיה ולכן, בית הדין נתן צו הצהרתי הקובע כי אי קליטתו של התובע נעשתה בניגוד להוראותיו של חוק הסכמים קיבוציים. בנוסף, בית הדין נתן צו לאכיפת העסקתו של התובע ולתשלום שכרו כפי שהיה טרם העברת הבעלות לנתבעת. עם זאת, למרות הקליטה הכפויה, לאור מצבה הכלכלי הרעוע של הנתבעת, רשאית היא לשקול את הפסקת העסקתו באמצעות זימונו לשימוע, כמתחייב מהדין. </w:t>
      </w:r>
    </w:p>
    <w:p w:rsidR="000118BE" w:rsidRPr="00AC25AE" w:rsidRDefault="000118BE" w:rsidP="00A8553B">
      <w:pPr>
        <w:tabs>
          <w:tab w:val="left" w:pos="-102"/>
        </w:tabs>
        <w:bidi/>
        <w:spacing w:line="360" w:lineRule="auto"/>
        <w:ind w:left="-101"/>
        <w:jc w:val="both"/>
        <w:rPr>
          <w:b/>
          <w:bCs/>
          <w:sz w:val="22"/>
          <w:szCs w:val="22"/>
          <w:rtl/>
        </w:rPr>
      </w:pPr>
      <w:r w:rsidRPr="00AC25AE">
        <w:rPr>
          <w:rFonts w:ascii="David" w:hAnsi="David" w:hint="cs"/>
          <w:sz w:val="22"/>
          <w:szCs w:val="22"/>
          <w:rtl/>
        </w:rPr>
        <w:t>סק (ת"א)</w:t>
      </w:r>
      <w:r w:rsidRPr="00AC25AE">
        <w:rPr>
          <w:rFonts w:ascii="David" w:hAnsi="David"/>
          <w:sz w:val="22"/>
          <w:szCs w:val="22"/>
          <w:rtl/>
        </w:rPr>
        <w:t xml:space="preserve"> </w:t>
      </w:r>
      <w:r w:rsidRPr="00AC25AE">
        <w:rPr>
          <w:rFonts w:hint="cs"/>
          <w:sz w:val="22"/>
          <w:szCs w:val="22"/>
          <w:rtl/>
        </w:rPr>
        <w:t xml:space="preserve">21961-11-12 </w:t>
      </w:r>
      <w:r w:rsidRPr="00AC25AE">
        <w:rPr>
          <w:color w:val="FF0000"/>
          <w:sz w:val="22"/>
          <w:szCs w:val="22"/>
        </w:rPr>
        <w:t>●</w:t>
      </w:r>
      <w:r w:rsidRPr="00AC25AE">
        <w:rPr>
          <w:rFonts w:hint="cs"/>
          <w:sz w:val="22"/>
          <w:szCs w:val="22"/>
          <w:rtl/>
        </w:rPr>
        <w:t xml:space="preserve"> </w:t>
      </w:r>
      <w:r w:rsidRPr="004540FC">
        <w:rPr>
          <w:rFonts w:ascii="David" w:hAnsi="David" w:hint="cs"/>
          <w:b/>
          <w:bCs/>
          <w:color w:val="FF0000"/>
          <w:sz w:val="22"/>
          <w:szCs w:val="22"/>
          <w:rtl/>
        </w:rPr>
        <w:t xml:space="preserve">הסתדרות העובדים הכללית החדשה נ' אחוזת הירש ישראל שתנ"ד בע"מ </w:t>
      </w:r>
      <w:r w:rsidRPr="00AC25AE">
        <w:rPr>
          <w:rFonts w:ascii="David" w:hAnsi="David" w:hint="cs"/>
          <w:sz w:val="22"/>
          <w:szCs w:val="22"/>
          <w:rtl/>
        </w:rPr>
        <w:t xml:space="preserve">(24.7.13) </w:t>
      </w:r>
      <w:r w:rsidRPr="00AC25AE">
        <w:rPr>
          <w:sz w:val="22"/>
          <w:szCs w:val="22"/>
        </w:rPr>
        <w:t xml:space="preserve"> </w:t>
      </w:r>
      <w:r w:rsidRPr="00AC25AE">
        <w:rPr>
          <w:color w:val="FF0000"/>
          <w:sz w:val="22"/>
          <w:szCs w:val="22"/>
        </w:rPr>
        <w:t>●</w:t>
      </w:r>
      <w:r w:rsidR="008F590E">
        <w:rPr>
          <w:rFonts w:ascii="David" w:hAnsi="David" w:hint="cs"/>
          <w:sz w:val="22"/>
          <w:szCs w:val="22"/>
          <w:rtl/>
        </w:rPr>
        <w:t xml:space="preserve"> </w:t>
      </w:r>
      <w:r w:rsidRPr="00AC25AE">
        <w:rPr>
          <w:rFonts w:ascii="David" w:hAnsi="David" w:hint="cs"/>
          <w:sz w:val="22"/>
          <w:szCs w:val="22"/>
          <w:rtl/>
        </w:rPr>
        <w:t>בפני כבוד השופט אורן שגב, נ.ע. מר הרצל גבע, נ.מ. מר אליאב יארניצקי</w:t>
      </w:r>
    </w:p>
    <w:p w:rsidR="00183324" w:rsidRPr="00BD3500" w:rsidRDefault="00183324" w:rsidP="00A8553B">
      <w:pPr>
        <w:tabs>
          <w:tab w:val="left" w:pos="-136"/>
          <w:tab w:val="left" w:pos="392"/>
        </w:tabs>
        <w:bidi/>
        <w:spacing w:line="360" w:lineRule="auto"/>
        <w:ind w:left="44"/>
        <w:jc w:val="both"/>
        <w:rPr>
          <w:rFonts w:ascii="Arial" w:hAnsi="Arial"/>
          <w:b/>
          <w:bCs/>
          <w:color w:val="0000FF"/>
          <w:sz w:val="32"/>
          <w:szCs w:val="32"/>
          <w:u w:val="single"/>
          <w:rtl/>
        </w:rPr>
      </w:pPr>
    </w:p>
    <w:p w:rsidR="000118BE" w:rsidRPr="00BD3500" w:rsidRDefault="000118BE" w:rsidP="00A8553B">
      <w:pPr>
        <w:pStyle w:val="2"/>
        <w:rPr>
          <w:color w:val="0000FF"/>
        </w:rPr>
      </w:pPr>
      <w:bookmarkStart w:id="129" w:name="_Toc228152696"/>
      <w:bookmarkStart w:id="130" w:name="_Toc383530633"/>
      <w:bookmarkStart w:id="131" w:name="_Toc383587178"/>
      <w:bookmarkStart w:id="132" w:name="_Toc383587383"/>
      <w:bookmarkStart w:id="133" w:name="_Toc383587825"/>
      <w:r w:rsidRPr="00BD3500">
        <w:rPr>
          <w:rFonts w:hint="cs"/>
          <w:color w:val="0000FF"/>
          <w:rtl/>
        </w:rPr>
        <w:t>סמכות וסדרי דין</w:t>
      </w:r>
      <w:bookmarkEnd w:id="129"/>
      <w:bookmarkEnd w:id="130"/>
      <w:bookmarkEnd w:id="131"/>
      <w:bookmarkEnd w:id="132"/>
      <w:bookmarkEnd w:id="133"/>
    </w:p>
    <w:p w:rsidR="000118BE" w:rsidRPr="00430055" w:rsidRDefault="000118BE" w:rsidP="008F590E">
      <w:pPr>
        <w:bidi/>
        <w:jc w:val="both"/>
        <w:outlineLvl w:val="1"/>
        <w:rPr>
          <w:rFonts w:ascii="David" w:hAnsi="David"/>
          <w:b/>
          <w:bCs/>
          <w:sz w:val="36"/>
          <w:szCs w:val="30"/>
          <w:u w:val="single"/>
        </w:rPr>
      </w:pPr>
      <w:r>
        <w:rPr>
          <w:rFonts w:ascii="David" w:hAnsi="David"/>
          <w:b/>
          <w:bCs/>
          <w:sz w:val="36"/>
          <w:szCs w:val="30"/>
          <w:u w:val="single"/>
        </w:rPr>
        <w:fldChar w:fldCharType="begin"/>
      </w:r>
      <w:r w:rsidRPr="00AB2927">
        <w:rPr>
          <w:rFonts w:ascii="David" w:hAnsi="David"/>
          <w:b/>
          <w:bCs/>
          <w:sz w:val="36"/>
          <w:szCs w:val="30"/>
          <w:u w:val="single"/>
        </w:rPr>
        <w:instrText xml:space="preserve"> TC "</w:instrText>
      </w:r>
      <w:bookmarkStart w:id="134" w:name="_Toc228528543"/>
      <w:r w:rsidRPr="00A1323C">
        <w:rPr>
          <w:rFonts w:ascii="David" w:hAnsi="David" w:hint="cs"/>
          <w:b/>
          <w:bCs/>
          <w:sz w:val="36"/>
          <w:szCs w:val="30"/>
          <w:u w:val="single"/>
          <w:rtl/>
        </w:rPr>
        <w:instrText>סמכות בית-הדין וסדרי דין</w:instrText>
      </w:r>
      <w:bookmarkEnd w:id="134"/>
      <w:r w:rsidRPr="00AB2927">
        <w:rPr>
          <w:rFonts w:ascii="David" w:hAnsi="David"/>
          <w:b/>
          <w:bCs/>
          <w:sz w:val="36"/>
          <w:szCs w:val="30"/>
          <w:u w:val="single"/>
        </w:rPr>
        <w:instrText xml:space="preserve">" \f C \l "1" </w:instrText>
      </w:r>
      <w:r>
        <w:rPr>
          <w:rFonts w:ascii="David" w:hAnsi="David"/>
          <w:b/>
          <w:bCs/>
          <w:sz w:val="36"/>
          <w:szCs w:val="30"/>
          <w:u w:val="single"/>
        </w:rPr>
        <w:fldChar w:fldCharType="end"/>
      </w:r>
    </w:p>
    <w:p w:rsidR="000118BE" w:rsidRDefault="000118BE" w:rsidP="00A8553B">
      <w:pPr>
        <w:numPr>
          <w:ilvl w:val="0"/>
          <w:numId w:val="7"/>
        </w:numPr>
        <w:bidi/>
        <w:spacing w:line="360" w:lineRule="auto"/>
        <w:jc w:val="both"/>
        <w:outlineLvl w:val="0"/>
        <w:rPr>
          <w:rFonts w:ascii="David" w:hAnsi="David"/>
          <w:b/>
          <w:bCs/>
          <w:color w:val="FF0000"/>
          <w:sz w:val="32"/>
          <w:szCs w:val="26"/>
          <w:u w:val="single"/>
        </w:rPr>
      </w:pPr>
      <w:bookmarkStart w:id="135" w:name="_Toc383530634"/>
      <w:bookmarkStart w:id="136" w:name="_Toc383587179"/>
      <w:bookmarkStart w:id="137" w:name="_Toc383587384"/>
      <w:bookmarkStart w:id="138" w:name="_Toc383587826"/>
      <w:bookmarkStart w:id="139" w:name="_Toc228152697"/>
      <w:r>
        <w:rPr>
          <w:rFonts w:ascii="David" w:hAnsi="David" w:hint="cs"/>
          <w:b/>
          <w:bCs/>
          <w:color w:val="FF0000"/>
          <w:sz w:val="32"/>
          <w:szCs w:val="26"/>
          <w:u w:val="single"/>
          <w:rtl/>
        </w:rPr>
        <w:t>סמכות בית-הדין לעבודה</w:t>
      </w:r>
      <w:bookmarkEnd w:id="135"/>
      <w:bookmarkEnd w:id="136"/>
      <w:bookmarkEnd w:id="137"/>
      <w:bookmarkEnd w:id="138"/>
    </w:p>
    <w:p w:rsidR="000118BE" w:rsidRDefault="000118BE" w:rsidP="008F590E">
      <w:pPr>
        <w:bidi/>
        <w:jc w:val="both"/>
        <w:outlineLvl w:val="0"/>
        <w:rPr>
          <w:rFonts w:ascii="David" w:hAnsi="David"/>
          <w:b/>
          <w:bCs/>
          <w:color w:val="FF0000"/>
          <w:sz w:val="32"/>
          <w:szCs w:val="26"/>
          <w:u w:val="single"/>
        </w:rPr>
      </w:pPr>
    </w:p>
    <w:p w:rsidR="000118BE" w:rsidRPr="00BD3500" w:rsidRDefault="000118BE" w:rsidP="00A8553B">
      <w:pPr>
        <w:numPr>
          <w:ilvl w:val="0"/>
          <w:numId w:val="23"/>
        </w:numPr>
        <w:tabs>
          <w:tab w:val="clear" w:pos="430"/>
          <w:tab w:val="left" w:pos="70"/>
          <w:tab w:val="num" w:pos="788"/>
        </w:tabs>
        <w:bidi/>
        <w:spacing w:line="360" w:lineRule="auto"/>
        <w:ind w:hanging="209"/>
        <w:jc w:val="both"/>
        <w:rPr>
          <w:rFonts w:ascii="Arial" w:hAnsi="Arial"/>
          <w:b/>
          <w:bCs/>
          <w:color w:val="0000FF"/>
          <w:sz w:val="24"/>
          <w:u w:val="single"/>
          <w:rtl/>
        </w:rPr>
      </w:pPr>
      <w:r w:rsidRPr="00BD3500">
        <w:rPr>
          <w:rFonts w:ascii="Arial" w:hAnsi="Arial" w:hint="cs"/>
          <w:b/>
          <w:bCs/>
          <w:color w:val="0000FF"/>
          <w:sz w:val="24"/>
          <w:u w:val="single"/>
          <w:rtl/>
        </w:rPr>
        <w:t>תביעת עובד נגד עובד אחר נדחתה מחוסר סמכות</w:t>
      </w:r>
    </w:p>
    <w:p w:rsidR="000118BE" w:rsidRDefault="000118BE" w:rsidP="008F590E">
      <w:pPr>
        <w:tabs>
          <w:tab w:val="left" w:pos="70"/>
        </w:tabs>
        <w:ind w:left="-102" w:right="80"/>
        <w:jc w:val="both"/>
        <w:rPr>
          <w:rFonts w:ascii="Arial" w:hAnsi="Arial"/>
          <w:b/>
          <w:bCs/>
          <w:color w:val="008000"/>
          <w:sz w:val="28"/>
          <w:szCs w:val="28"/>
          <w:u w:val="single"/>
          <w:rtl/>
        </w:rPr>
      </w:pPr>
    </w:p>
    <w:p w:rsidR="000118BE" w:rsidRPr="00186308" w:rsidRDefault="000118BE" w:rsidP="00A8553B">
      <w:pPr>
        <w:tabs>
          <w:tab w:val="left" w:pos="-110"/>
        </w:tabs>
        <w:bidi/>
        <w:spacing w:line="360" w:lineRule="auto"/>
        <w:ind w:left="72"/>
        <w:jc w:val="both"/>
        <w:rPr>
          <w:b/>
          <w:bCs/>
          <w:rtl/>
        </w:rPr>
      </w:pPr>
      <w:r w:rsidRPr="00186308">
        <w:rPr>
          <w:rFonts w:hint="cs"/>
          <w:b/>
          <w:bCs/>
          <w:rtl/>
        </w:rPr>
        <w:t>עובד שפוטר מעבודתו בבית החולים נהריה, הגיש תביעה לבית הדין לפיצוי על נזק כספי ונפשי שנגרם לו, נגד בית החולים ונגד שני עובדים- המנהלת האדמיניסטרטיבית ומנהל כוח אדם לשעבר.</w:t>
      </w:r>
    </w:p>
    <w:p w:rsidR="000118BE" w:rsidRPr="00186308" w:rsidRDefault="000118BE" w:rsidP="00A8553B">
      <w:pPr>
        <w:tabs>
          <w:tab w:val="left" w:pos="-110"/>
        </w:tabs>
        <w:bidi/>
        <w:spacing w:line="360" w:lineRule="auto"/>
        <w:ind w:left="72"/>
        <w:jc w:val="both"/>
        <w:rPr>
          <w:b/>
          <w:bCs/>
          <w:rtl/>
        </w:rPr>
      </w:pPr>
      <w:r w:rsidRPr="00186308">
        <w:rPr>
          <w:rFonts w:hint="cs"/>
          <w:b/>
          <w:bCs/>
          <w:rtl/>
        </w:rPr>
        <w:t xml:space="preserve">בתגובה לכך, הגישו שני העובדים בקשה לסילוק התביעה על הסף, בן היתר, בשל העדר סמכות עניינית לדון בתביעה. לטענתם, הם ביצעו את תפקידם כנושאי משרה ופעולותיהם הן פעולות משרד הבריאות. בנוסף, לא פורטה עילת תביעה אישית כנגדם והתביעה נוסחה כתביעת נזיקין שגם היא אינה בסמכות בית הדין. </w:t>
      </w:r>
    </w:p>
    <w:p w:rsidR="000118BE" w:rsidRPr="00186308" w:rsidRDefault="000118BE" w:rsidP="00A8553B">
      <w:pPr>
        <w:tabs>
          <w:tab w:val="left" w:pos="-110"/>
        </w:tabs>
        <w:bidi/>
        <w:spacing w:line="360" w:lineRule="auto"/>
        <w:ind w:left="72"/>
        <w:jc w:val="both"/>
        <w:rPr>
          <w:b/>
          <w:bCs/>
          <w:rtl/>
        </w:rPr>
      </w:pPr>
      <w:r w:rsidRPr="00186308">
        <w:rPr>
          <w:rFonts w:hint="cs"/>
          <w:b/>
          <w:bCs/>
          <w:rtl/>
        </w:rPr>
        <w:t xml:space="preserve">על פי סעיף 24(א)(1) לחוק בית הדין לעבודה, לבית דין אזורי סמכות ייחודית לדון בתובענות בין עובד למעביד שעילתן ביחסי עובד ומעביד, למעט בתובענה שעילתה בפקודת הנזיקין. </w:t>
      </w:r>
    </w:p>
    <w:p w:rsidR="000118BE" w:rsidRPr="00186308" w:rsidRDefault="000118BE" w:rsidP="00A8553B">
      <w:pPr>
        <w:tabs>
          <w:tab w:val="left" w:pos="-110"/>
        </w:tabs>
        <w:bidi/>
        <w:spacing w:line="360" w:lineRule="auto"/>
        <w:ind w:left="72"/>
        <w:jc w:val="both"/>
        <w:rPr>
          <w:b/>
          <w:bCs/>
          <w:rtl/>
        </w:rPr>
      </w:pPr>
      <w:r w:rsidRPr="00186308">
        <w:rPr>
          <w:rFonts w:hint="cs"/>
          <w:b/>
          <w:bCs/>
          <w:rtl/>
        </w:rPr>
        <w:t xml:space="preserve">בית הדין פסק כי שני בעלי התפקידים בבית החולים הממשלתי לא היו "מעסיק" של העובד ואף אינם בגדר "חליפו" של המעסיק בפועל- מדינת ישראל. לכן לא מתקיים מבחן "זהות הצדדים" ולבית הדין אין סמכות עניינית לדון בסכסוך. כמו כן, עילות התביעה בכתב התביעה הינן עילות נזיקיות שאינן בסמכותו של בית הדין, ולבטח שלא בין צדדים שלא התקיימו ביניהם יחסי עובד- מעביד. </w:t>
      </w:r>
    </w:p>
    <w:p w:rsidR="000118BE" w:rsidRPr="00186308" w:rsidRDefault="000118BE" w:rsidP="00A8553B">
      <w:pPr>
        <w:tabs>
          <w:tab w:val="left" w:pos="-110"/>
        </w:tabs>
        <w:bidi/>
        <w:spacing w:line="360" w:lineRule="auto"/>
        <w:ind w:left="72"/>
        <w:jc w:val="both"/>
        <w:rPr>
          <w:b/>
          <w:bCs/>
          <w:sz w:val="22"/>
          <w:szCs w:val="22"/>
          <w:rtl/>
        </w:rPr>
      </w:pPr>
      <w:r w:rsidRPr="00186308">
        <w:rPr>
          <w:rFonts w:hint="cs"/>
          <w:sz w:val="22"/>
          <w:szCs w:val="22"/>
          <w:rtl/>
        </w:rPr>
        <w:t xml:space="preserve">ד"מ (חי') 30909-01-13 </w:t>
      </w:r>
      <w:r w:rsidRPr="00186308">
        <w:rPr>
          <w:color w:val="FF0000"/>
          <w:sz w:val="22"/>
          <w:szCs w:val="22"/>
        </w:rPr>
        <w:t>●</w:t>
      </w:r>
      <w:r w:rsidRPr="00186308">
        <w:rPr>
          <w:rFonts w:hint="cs"/>
          <w:b/>
          <w:bCs/>
          <w:sz w:val="22"/>
          <w:szCs w:val="22"/>
          <w:rtl/>
        </w:rPr>
        <w:t xml:space="preserve"> </w:t>
      </w:r>
      <w:r w:rsidRPr="004540FC">
        <w:rPr>
          <w:rFonts w:hint="cs"/>
          <w:b/>
          <w:bCs/>
          <w:color w:val="FF0000"/>
          <w:sz w:val="22"/>
          <w:szCs w:val="22"/>
          <w:rtl/>
        </w:rPr>
        <w:t xml:space="preserve">גדעון כהן נ' רותי יפרח מנהלת אדמיניסטרטיבית, בי"ח נהריה </w:t>
      </w:r>
      <w:r w:rsidRPr="00186308">
        <w:rPr>
          <w:rFonts w:hint="cs"/>
          <w:sz w:val="22"/>
          <w:szCs w:val="22"/>
          <w:rtl/>
        </w:rPr>
        <w:t xml:space="preserve">(5.2.14) </w:t>
      </w:r>
      <w:r w:rsidRPr="00186308">
        <w:rPr>
          <w:sz w:val="22"/>
          <w:szCs w:val="22"/>
        </w:rPr>
        <w:t xml:space="preserve"> </w:t>
      </w:r>
      <w:r w:rsidRPr="00186308">
        <w:rPr>
          <w:color w:val="FF0000"/>
          <w:sz w:val="22"/>
          <w:szCs w:val="22"/>
        </w:rPr>
        <w:t>●</w:t>
      </w:r>
      <w:r w:rsidRPr="00186308">
        <w:rPr>
          <w:rFonts w:hint="cs"/>
          <w:sz w:val="22"/>
          <w:szCs w:val="22"/>
          <w:rtl/>
        </w:rPr>
        <w:t>בפני כבוד השופטת מיכל נעים דיבנר</w:t>
      </w:r>
    </w:p>
    <w:p w:rsidR="000118BE" w:rsidRDefault="000118BE" w:rsidP="00A8553B">
      <w:pPr>
        <w:tabs>
          <w:tab w:val="left" w:pos="90"/>
        </w:tabs>
        <w:bidi/>
        <w:spacing w:line="360" w:lineRule="auto"/>
        <w:ind w:left="-102"/>
        <w:jc w:val="both"/>
        <w:rPr>
          <w:rFonts w:ascii="David" w:hAnsi="David"/>
          <w:color w:val="000000"/>
          <w:sz w:val="22"/>
          <w:szCs w:val="22"/>
          <w:rtl/>
        </w:rPr>
      </w:pPr>
    </w:p>
    <w:p w:rsidR="004540FC" w:rsidRDefault="004540FC" w:rsidP="004540FC">
      <w:pPr>
        <w:tabs>
          <w:tab w:val="left" w:pos="90"/>
        </w:tabs>
        <w:bidi/>
        <w:spacing w:line="360" w:lineRule="auto"/>
        <w:ind w:left="-102"/>
        <w:jc w:val="both"/>
        <w:rPr>
          <w:rFonts w:ascii="David" w:hAnsi="David"/>
          <w:color w:val="000000"/>
          <w:sz w:val="22"/>
          <w:szCs w:val="22"/>
          <w:rtl/>
        </w:rPr>
      </w:pPr>
    </w:p>
    <w:p w:rsidR="004540FC" w:rsidRDefault="004540FC" w:rsidP="004540FC">
      <w:pPr>
        <w:tabs>
          <w:tab w:val="left" w:pos="90"/>
        </w:tabs>
        <w:bidi/>
        <w:spacing w:line="360" w:lineRule="auto"/>
        <w:ind w:left="-102"/>
        <w:jc w:val="both"/>
        <w:rPr>
          <w:rFonts w:ascii="David" w:hAnsi="David"/>
          <w:color w:val="000000"/>
          <w:sz w:val="22"/>
          <w:szCs w:val="22"/>
          <w:rtl/>
        </w:rPr>
      </w:pPr>
    </w:p>
    <w:p w:rsidR="004540FC" w:rsidRDefault="004540FC" w:rsidP="004540FC">
      <w:pPr>
        <w:tabs>
          <w:tab w:val="left" w:pos="90"/>
        </w:tabs>
        <w:bidi/>
        <w:spacing w:line="360" w:lineRule="auto"/>
        <w:ind w:left="-102"/>
        <w:jc w:val="both"/>
        <w:rPr>
          <w:rFonts w:ascii="David" w:hAnsi="David"/>
          <w:color w:val="000000"/>
          <w:sz w:val="22"/>
          <w:szCs w:val="22"/>
          <w:rtl/>
        </w:rPr>
      </w:pPr>
    </w:p>
    <w:p w:rsidR="004540FC" w:rsidRDefault="004540FC" w:rsidP="004540FC">
      <w:pPr>
        <w:tabs>
          <w:tab w:val="left" w:pos="90"/>
        </w:tabs>
        <w:bidi/>
        <w:spacing w:line="360" w:lineRule="auto"/>
        <w:ind w:left="-102"/>
        <w:jc w:val="both"/>
        <w:rPr>
          <w:rFonts w:ascii="David" w:hAnsi="David"/>
          <w:color w:val="000000"/>
          <w:sz w:val="22"/>
          <w:szCs w:val="22"/>
          <w:rtl/>
        </w:rPr>
      </w:pPr>
    </w:p>
    <w:p w:rsidR="004540FC" w:rsidRDefault="004540FC" w:rsidP="004540FC">
      <w:pPr>
        <w:tabs>
          <w:tab w:val="left" w:pos="90"/>
        </w:tabs>
        <w:bidi/>
        <w:spacing w:line="360" w:lineRule="auto"/>
        <w:ind w:left="-102"/>
        <w:jc w:val="both"/>
        <w:rPr>
          <w:rFonts w:ascii="David" w:hAnsi="David"/>
          <w:color w:val="000000"/>
          <w:sz w:val="22"/>
          <w:szCs w:val="22"/>
          <w:rtl/>
        </w:rPr>
      </w:pPr>
    </w:p>
    <w:p w:rsidR="004540FC" w:rsidRDefault="004540FC" w:rsidP="004540FC">
      <w:pPr>
        <w:tabs>
          <w:tab w:val="left" w:pos="90"/>
        </w:tabs>
        <w:bidi/>
        <w:spacing w:line="360" w:lineRule="auto"/>
        <w:ind w:left="-102"/>
        <w:jc w:val="both"/>
        <w:rPr>
          <w:rFonts w:ascii="David" w:hAnsi="David"/>
          <w:color w:val="000000"/>
          <w:sz w:val="22"/>
          <w:szCs w:val="22"/>
          <w:rtl/>
        </w:rPr>
      </w:pPr>
    </w:p>
    <w:p w:rsidR="000118BE" w:rsidRDefault="000118BE" w:rsidP="00A8553B">
      <w:pPr>
        <w:numPr>
          <w:ilvl w:val="0"/>
          <w:numId w:val="7"/>
        </w:numPr>
        <w:bidi/>
        <w:spacing w:line="360" w:lineRule="auto"/>
        <w:jc w:val="both"/>
        <w:outlineLvl w:val="0"/>
        <w:rPr>
          <w:rFonts w:ascii="David" w:hAnsi="David"/>
          <w:b/>
          <w:bCs/>
          <w:color w:val="FF0000"/>
          <w:sz w:val="32"/>
          <w:szCs w:val="26"/>
          <w:u w:val="single"/>
        </w:rPr>
      </w:pPr>
      <w:bookmarkStart w:id="140" w:name="_Toc228152701"/>
      <w:bookmarkStart w:id="141" w:name="_Toc383530635"/>
      <w:bookmarkStart w:id="142" w:name="_Toc383587180"/>
      <w:bookmarkStart w:id="143" w:name="_Toc383587385"/>
      <w:bookmarkStart w:id="144" w:name="_Toc383587827"/>
      <w:bookmarkEnd w:id="139"/>
      <w:r>
        <w:rPr>
          <w:rFonts w:ascii="David" w:hAnsi="David" w:hint="cs"/>
          <w:b/>
          <w:bCs/>
          <w:color w:val="FF0000"/>
          <w:sz w:val="32"/>
          <w:szCs w:val="26"/>
          <w:u w:val="single"/>
          <w:rtl/>
        </w:rPr>
        <w:lastRenderedPageBreak/>
        <w:t>גילוי מסמכים</w:t>
      </w:r>
      <w:bookmarkEnd w:id="140"/>
      <w:bookmarkEnd w:id="141"/>
      <w:bookmarkEnd w:id="142"/>
      <w:bookmarkEnd w:id="143"/>
      <w:bookmarkEnd w:id="144"/>
    </w:p>
    <w:p w:rsidR="000118BE" w:rsidRPr="003A3506" w:rsidRDefault="000118BE" w:rsidP="008F590E">
      <w:pPr>
        <w:bidi/>
        <w:jc w:val="both"/>
        <w:outlineLvl w:val="0"/>
        <w:rPr>
          <w:rFonts w:ascii="David" w:hAnsi="David"/>
          <w:b/>
          <w:bCs/>
          <w:color w:val="FF0000"/>
          <w:sz w:val="32"/>
          <w:szCs w:val="26"/>
          <w:u w:val="single"/>
        </w:rPr>
      </w:pPr>
    </w:p>
    <w:p w:rsidR="000118BE" w:rsidRPr="001019BE" w:rsidRDefault="000118BE" w:rsidP="00A8553B">
      <w:pPr>
        <w:numPr>
          <w:ilvl w:val="0"/>
          <w:numId w:val="33"/>
        </w:numPr>
        <w:tabs>
          <w:tab w:val="left" w:pos="-110"/>
          <w:tab w:val="left" w:pos="9048"/>
          <w:tab w:val="left" w:pos="9228"/>
        </w:tabs>
        <w:bidi/>
        <w:spacing w:line="360" w:lineRule="auto"/>
        <w:ind w:right="-180"/>
        <w:jc w:val="both"/>
        <w:rPr>
          <w:rFonts w:ascii="Arial" w:hAnsi="Arial"/>
          <w:b/>
          <w:bCs/>
          <w:color w:val="008000"/>
          <w:sz w:val="24"/>
          <w:u w:val="single"/>
          <w:rtl/>
        </w:rPr>
      </w:pPr>
      <w:r w:rsidRPr="00BD3500">
        <w:rPr>
          <w:rFonts w:ascii="Arial" w:hAnsi="Arial" w:hint="cs"/>
          <w:b/>
          <w:bCs/>
          <w:color w:val="0000FF"/>
          <w:sz w:val="24"/>
          <w:u w:val="single"/>
          <w:rtl/>
        </w:rPr>
        <w:t>חיוב מבוטחת של קופ"ח כללית לחשוף היסטורי</w:t>
      </w:r>
      <w:r w:rsidRPr="00BD3500">
        <w:rPr>
          <w:rFonts w:ascii="Arial" w:hAnsi="Arial" w:hint="eastAsia"/>
          <w:b/>
          <w:bCs/>
          <w:color w:val="0000FF"/>
          <w:sz w:val="24"/>
          <w:u w:val="single"/>
          <w:rtl/>
        </w:rPr>
        <w:t>ה</w:t>
      </w:r>
      <w:r w:rsidRPr="00BD3500">
        <w:rPr>
          <w:rFonts w:ascii="Arial" w:hAnsi="Arial" w:hint="cs"/>
          <w:b/>
          <w:bCs/>
          <w:color w:val="0000FF"/>
          <w:sz w:val="24"/>
          <w:u w:val="single"/>
          <w:rtl/>
        </w:rPr>
        <w:t xml:space="preserve"> רפואית שלה למרות הגנת הפרטיות</w:t>
      </w:r>
    </w:p>
    <w:p w:rsidR="000118BE" w:rsidRPr="009C7A09" w:rsidRDefault="000118BE" w:rsidP="008F590E">
      <w:pPr>
        <w:tabs>
          <w:tab w:val="left" w:pos="0"/>
          <w:tab w:val="left" w:pos="288"/>
          <w:tab w:val="left" w:pos="720"/>
          <w:tab w:val="left" w:pos="1296"/>
        </w:tabs>
        <w:bidi/>
        <w:adjustRightInd w:val="0"/>
        <w:ind w:left="-115"/>
        <w:jc w:val="both"/>
        <w:rPr>
          <w:rFonts w:eastAsia="Calibri"/>
          <w:b/>
          <w:bCs/>
          <w:color w:val="000000"/>
          <w:sz w:val="24"/>
          <w:rtl/>
        </w:rPr>
      </w:pPr>
    </w:p>
    <w:p w:rsidR="000118BE" w:rsidRPr="001019BE" w:rsidRDefault="000118BE" w:rsidP="00A8553B">
      <w:pPr>
        <w:tabs>
          <w:tab w:val="left" w:pos="-110"/>
        </w:tabs>
        <w:bidi/>
        <w:spacing w:line="360" w:lineRule="auto"/>
        <w:ind w:left="72"/>
        <w:jc w:val="both"/>
        <w:rPr>
          <w:b/>
          <w:bCs/>
          <w:rtl/>
        </w:rPr>
      </w:pPr>
      <w:r w:rsidRPr="001019BE">
        <w:rPr>
          <w:rFonts w:hint="cs"/>
          <w:b/>
          <w:bCs/>
          <w:rtl/>
        </w:rPr>
        <w:t>בית הדין הארצי לעבודה קיבל ערעורה של קופת חולים כללית - מרפאת ש.ל.ה., במסגרתו ביקשה לקבל ממבוטחת טופס ויתור על סודיות כולל ומקיף לאחר שסירבה לכך.</w:t>
      </w:r>
    </w:p>
    <w:p w:rsidR="000118BE" w:rsidRPr="001019BE" w:rsidRDefault="000118BE" w:rsidP="00A8553B">
      <w:pPr>
        <w:tabs>
          <w:tab w:val="left" w:pos="-110"/>
        </w:tabs>
        <w:bidi/>
        <w:spacing w:line="360" w:lineRule="auto"/>
        <w:ind w:left="72"/>
        <w:jc w:val="both"/>
        <w:rPr>
          <w:b/>
          <w:bCs/>
          <w:rtl/>
        </w:rPr>
      </w:pPr>
      <w:r w:rsidRPr="001019BE">
        <w:rPr>
          <w:b/>
          <w:bCs/>
          <w:rtl/>
        </w:rPr>
        <w:t xml:space="preserve">המשיבה הגישה כנגד </w:t>
      </w:r>
      <w:r w:rsidRPr="001019BE">
        <w:rPr>
          <w:rFonts w:hint="cs"/>
          <w:b/>
          <w:bCs/>
          <w:rtl/>
        </w:rPr>
        <w:t>מרפאת השיניים ש.ל.ה</w:t>
      </w:r>
      <w:r w:rsidRPr="001019BE">
        <w:rPr>
          <w:b/>
          <w:bCs/>
          <w:rtl/>
        </w:rPr>
        <w:t xml:space="preserve"> תביעה </w:t>
      </w:r>
      <w:r w:rsidRPr="001019BE">
        <w:rPr>
          <w:rFonts w:hint="cs"/>
          <w:b/>
          <w:bCs/>
          <w:rtl/>
        </w:rPr>
        <w:t>בבית-הדין</w:t>
      </w:r>
      <w:r w:rsidRPr="001019BE">
        <w:rPr>
          <w:b/>
          <w:bCs/>
          <w:rtl/>
        </w:rPr>
        <w:t xml:space="preserve"> האזורי </w:t>
      </w:r>
      <w:r w:rsidRPr="001019BE">
        <w:rPr>
          <w:rFonts w:hint="cs"/>
          <w:b/>
          <w:bCs/>
          <w:rtl/>
        </w:rPr>
        <w:t xml:space="preserve">בירושלים </w:t>
      </w:r>
      <w:r w:rsidRPr="001019BE">
        <w:rPr>
          <w:b/>
          <w:bCs/>
          <w:rtl/>
        </w:rPr>
        <w:t xml:space="preserve">למתן צו עשה וביקשה לחייב את </w:t>
      </w:r>
      <w:r w:rsidRPr="001019BE">
        <w:rPr>
          <w:rFonts w:hint="cs"/>
          <w:b/>
          <w:bCs/>
          <w:rtl/>
        </w:rPr>
        <w:t>המרפאה</w:t>
      </w:r>
      <w:r w:rsidRPr="001019BE">
        <w:rPr>
          <w:b/>
          <w:bCs/>
          <w:rtl/>
        </w:rPr>
        <w:t xml:space="preserve"> להעניק לה טיפולי שיניים</w:t>
      </w:r>
      <w:r w:rsidRPr="001019BE">
        <w:rPr>
          <w:rFonts w:hint="cs"/>
          <w:b/>
          <w:bCs/>
          <w:rtl/>
        </w:rPr>
        <w:t>.</w:t>
      </w:r>
      <w:r w:rsidRPr="001019BE">
        <w:rPr>
          <w:b/>
          <w:bCs/>
          <w:rtl/>
        </w:rPr>
        <w:t xml:space="preserve"> עם קבלת התביעה, פנ</w:t>
      </w:r>
      <w:r w:rsidRPr="001019BE">
        <w:rPr>
          <w:rFonts w:hint="cs"/>
          <w:b/>
          <w:bCs/>
          <w:rtl/>
        </w:rPr>
        <w:t>ת</w:t>
      </w:r>
      <w:r w:rsidRPr="001019BE">
        <w:rPr>
          <w:b/>
          <w:bCs/>
          <w:rtl/>
        </w:rPr>
        <w:t>ה</w:t>
      </w:r>
      <w:r w:rsidRPr="001019BE">
        <w:rPr>
          <w:rFonts w:hint="cs"/>
          <w:b/>
          <w:bCs/>
          <w:rtl/>
        </w:rPr>
        <w:t xml:space="preserve"> המרפאה</w:t>
      </w:r>
      <w:r w:rsidRPr="001019BE">
        <w:rPr>
          <w:b/>
          <w:bCs/>
          <w:rtl/>
        </w:rPr>
        <w:t xml:space="preserve"> </w:t>
      </w:r>
      <w:r w:rsidRPr="001019BE">
        <w:rPr>
          <w:rFonts w:hint="cs"/>
          <w:b/>
          <w:bCs/>
          <w:rtl/>
        </w:rPr>
        <w:t>ל</w:t>
      </w:r>
      <w:r w:rsidRPr="001019BE">
        <w:rPr>
          <w:b/>
          <w:bCs/>
          <w:rtl/>
        </w:rPr>
        <w:t xml:space="preserve">משיבה בבקשה לקבל טופס ויתור על סודיות רפואית סטנדרטי וכללי חתום על </w:t>
      </w:r>
      <w:r w:rsidRPr="001019BE">
        <w:rPr>
          <w:rFonts w:hint="cs"/>
          <w:b/>
          <w:bCs/>
          <w:rtl/>
        </w:rPr>
        <w:t>ידה</w:t>
      </w:r>
      <w:r w:rsidRPr="001019BE">
        <w:rPr>
          <w:b/>
          <w:bCs/>
          <w:rtl/>
        </w:rPr>
        <w:t>, אך המשיבה סירבה</w:t>
      </w:r>
      <w:r w:rsidRPr="001019BE">
        <w:rPr>
          <w:rFonts w:hint="cs"/>
          <w:b/>
          <w:bCs/>
          <w:rtl/>
        </w:rPr>
        <w:t>,</w:t>
      </w:r>
      <w:r w:rsidRPr="001019BE">
        <w:rPr>
          <w:b/>
          <w:bCs/>
          <w:rtl/>
        </w:rPr>
        <w:t xml:space="preserve"> </w:t>
      </w:r>
      <w:r w:rsidRPr="001019BE">
        <w:rPr>
          <w:rFonts w:hint="cs"/>
          <w:b/>
          <w:bCs/>
          <w:rtl/>
        </w:rPr>
        <w:t xml:space="preserve">כאמור, </w:t>
      </w:r>
      <w:r w:rsidRPr="001019BE">
        <w:rPr>
          <w:b/>
          <w:bCs/>
          <w:rtl/>
        </w:rPr>
        <w:t>לחתום על</w:t>
      </w:r>
      <w:r w:rsidRPr="001019BE">
        <w:rPr>
          <w:rFonts w:hint="cs"/>
          <w:b/>
          <w:bCs/>
          <w:rtl/>
        </w:rPr>
        <w:t xml:space="preserve">יו </w:t>
      </w:r>
      <w:r w:rsidRPr="001019BE">
        <w:rPr>
          <w:b/>
          <w:bCs/>
          <w:rtl/>
        </w:rPr>
        <w:t>והסבירה כי היא מוכנה לחתום על טופס ויתור על סודיות רפואית</w:t>
      </w:r>
      <w:r w:rsidRPr="001019BE">
        <w:rPr>
          <w:rFonts w:hint="cs"/>
          <w:b/>
          <w:bCs/>
          <w:rtl/>
        </w:rPr>
        <w:t xml:space="preserve"> ספציפי,</w:t>
      </w:r>
      <w:r w:rsidRPr="001019BE">
        <w:rPr>
          <w:b/>
          <w:bCs/>
          <w:rtl/>
        </w:rPr>
        <w:t xml:space="preserve"> המופנה רק למחלקת פה ולסת בבית החולים הדסה עין כרם. </w:t>
      </w:r>
    </w:p>
    <w:p w:rsidR="000118BE" w:rsidRPr="001019BE" w:rsidRDefault="000118BE" w:rsidP="00A8553B">
      <w:pPr>
        <w:tabs>
          <w:tab w:val="left" w:pos="-110"/>
        </w:tabs>
        <w:bidi/>
        <w:spacing w:line="360" w:lineRule="auto"/>
        <w:ind w:left="72"/>
        <w:jc w:val="both"/>
        <w:rPr>
          <w:b/>
          <w:bCs/>
          <w:rtl/>
        </w:rPr>
      </w:pPr>
      <w:r w:rsidRPr="001019BE">
        <w:rPr>
          <w:rFonts w:hint="cs"/>
          <w:b/>
          <w:bCs/>
          <w:rtl/>
        </w:rPr>
        <w:t>בית-הדין</w:t>
      </w:r>
      <w:r w:rsidRPr="001019BE">
        <w:rPr>
          <w:b/>
          <w:bCs/>
          <w:rtl/>
        </w:rPr>
        <w:t xml:space="preserve"> האזורי דחה את בקשת </w:t>
      </w:r>
      <w:r w:rsidRPr="001019BE">
        <w:rPr>
          <w:rFonts w:hint="cs"/>
          <w:b/>
          <w:bCs/>
          <w:rtl/>
        </w:rPr>
        <w:t xml:space="preserve">המרפאה וקיבל את טענת המבוטחת, כי </w:t>
      </w:r>
      <w:r w:rsidRPr="001019BE">
        <w:rPr>
          <w:b/>
          <w:bCs/>
          <w:rtl/>
        </w:rPr>
        <w:t xml:space="preserve">זכותה לפרטיות גוברת על דרישת </w:t>
      </w:r>
      <w:r w:rsidRPr="001019BE">
        <w:rPr>
          <w:rFonts w:hint="cs"/>
          <w:b/>
          <w:bCs/>
          <w:rtl/>
        </w:rPr>
        <w:t>מרפאת ש.ל.ה.</w:t>
      </w:r>
      <w:r w:rsidRPr="001019BE">
        <w:rPr>
          <w:b/>
          <w:bCs/>
          <w:rtl/>
        </w:rPr>
        <w:t xml:space="preserve"> לקבל לידה טופס ויתור </w:t>
      </w:r>
      <w:r w:rsidRPr="001019BE">
        <w:rPr>
          <w:rFonts w:hint="cs"/>
          <w:b/>
          <w:bCs/>
          <w:rtl/>
        </w:rPr>
        <w:t xml:space="preserve">על </w:t>
      </w:r>
      <w:r w:rsidRPr="001019BE">
        <w:rPr>
          <w:b/>
          <w:bCs/>
          <w:rtl/>
        </w:rPr>
        <w:t xml:space="preserve">סודיות רפואית כולל ומקיף חתום על ידה וכי </w:t>
      </w:r>
      <w:hyperlink r:id="rId32" w:history="1">
        <w:r w:rsidRPr="001019BE">
          <w:rPr>
            <w:b/>
            <w:bCs/>
            <w:rtl/>
          </w:rPr>
          <w:t>בסעיף 19</w:t>
        </w:r>
      </w:hyperlink>
      <w:r w:rsidRPr="001019BE">
        <w:rPr>
          <w:b/>
          <w:bCs/>
          <w:rtl/>
        </w:rPr>
        <w:t xml:space="preserve"> ל</w:t>
      </w:r>
      <w:hyperlink r:id="rId33" w:history="1">
        <w:r w:rsidRPr="001019BE">
          <w:rPr>
            <w:b/>
            <w:bCs/>
            <w:rtl/>
          </w:rPr>
          <w:t>חוק זכויות החולה</w:t>
        </w:r>
      </w:hyperlink>
      <w:r w:rsidRPr="001019BE">
        <w:rPr>
          <w:b/>
          <w:bCs/>
          <w:rtl/>
        </w:rPr>
        <w:t>, מעוגנת זכותה לחיסיון רפואי ולשמירת סודיותו</w:t>
      </w:r>
      <w:r w:rsidRPr="001019BE">
        <w:rPr>
          <w:rFonts w:hint="cs"/>
          <w:b/>
          <w:bCs/>
          <w:rtl/>
        </w:rPr>
        <w:t xml:space="preserve"> -</w:t>
      </w:r>
      <w:r w:rsidRPr="001019BE">
        <w:rPr>
          <w:b/>
          <w:bCs/>
          <w:rtl/>
        </w:rPr>
        <w:t xml:space="preserve"> ומכאן הערעור</w:t>
      </w:r>
      <w:r w:rsidRPr="001019BE">
        <w:rPr>
          <w:rFonts w:hint="cs"/>
          <w:b/>
          <w:bCs/>
          <w:rtl/>
        </w:rPr>
        <w:t>.</w:t>
      </w:r>
      <w:r w:rsidRPr="001019BE">
        <w:rPr>
          <w:b/>
          <w:bCs/>
          <w:rtl/>
        </w:rPr>
        <w:t xml:space="preserve"> </w:t>
      </w:r>
    </w:p>
    <w:p w:rsidR="000118BE" w:rsidRPr="001019BE" w:rsidRDefault="000118BE" w:rsidP="00A8553B">
      <w:pPr>
        <w:tabs>
          <w:tab w:val="left" w:pos="-110"/>
        </w:tabs>
        <w:bidi/>
        <w:spacing w:line="360" w:lineRule="auto"/>
        <w:ind w:left="72"/>
        <w:jc w:val="both"/>
        <w:rPr>
          <w:b/>
          <w:bCs/>
          <w:rtl/>
        </w:rPr>
      </w:pPr>
      <w:r w:rsidRPr="001019BE">
        <w:rPr>
          <w:rFonts w:hint="cs"/>
          <w:b/>
          <w:bCs/>
          <w:rtl/>
        </w:rPr>
        <w:t xml:space="preserve">בית הדין הארצי קבע, כי </w:t>
      </w:r>
      <w:r w:rsidRPr="001019BE">
        <w:rPr>
          <w:b/>
          <w:bCs/>
          <w:rtl/>
        </w:rPr>
        <w:t>הזכות לפרטיות</w:t>
      </w:r>
      <w:r w:rsidRPr="001019BE">
        <w:rPr>
          <w:rFonts w:hint="cs"/>
          <w:b/>
          <w:bCs/>
          <w:rtl/>
        </w:rPr>
        <w:t xml:space="preserve"> היא, אמנם, זכות יסוד, אולם עם זאת היא </w:t>
      </w:r>
      <w:r w:rsidRPr="001019BE">
        <w:rPr>
          <w:b/>
          <w:bCs/>
          <w:rtl/>
        </w:rPr>
        <w:t xml:space="preserve"> אינה מוחלטת אלא יחסית, ויש לאזנה מול אינטרסים אחרים. כאשר הזכות לפרטיות עומדת מול זכותו של נתבע להתגונן מפני תובענה שהוגשה נגדו, קנה-המידה שעל-פיו ייקבע היקף זכותו של התובע לפרטיות הוא מידת הרלוונטיות שבמסמכים שגילויים נדרש לבירור המחלוקת. </w:t>
      </w:r>
    </w:p>
    <w:p w:rsidR="000118BE" w:rsidRPr="001019BE" w:rsidRDefault="000118BE" w:rsidP="00A8553B">
      <w:pPr>
        <w:tabs>
          <w:tab w:val="left" w:pos="-110"/>
        </w:tabs>
        <w:bidi/>
        <w:spacing w:line="360" w:lineRule="auto"/>
        <w:ind w:left="72"/>
        <w:jc w:val="both"/>
        <w:rPr>
          <w:b/>
          <w:bCs/>
          <w:rtl/>
        </w:rPr>
      </w:pPr>
      <w:r w:rsidRPr="001019BE">
        <w:rPr>
          <w:rFonts w:hint="cs"/>
          <w:b/>
          <w:bCs/>
          <w:rtl/>
        </w:rPr>
        <w:t xml:space="preserve">בנסיבות המקרה, </w:t>
      </w:r>
      <w:r w:rsidRPr="001019BE">
        <w:rPr>
          <w:b/>
          <w:bCs/>
          <w:rtl/>
        </w:rPr>
        <w:t xml:space="preserve">טופס ויתור על סודיות רפואית כולל עשוי להיות מוצדק ורלוונטי </w:t>
      </w:r>
      <w:r w:rsidRPr="001019BE">
        <w:rPr>
          <w:rFonts w:hint="cs"/>
          <w:b/>
          <w:bCs/>
          <w:rtl/>
        </w:rPr>
        <w:t>להגנת הקופה מ</w:t>
      </w:r>
      <w:r w:rsidRPr="001019BE">
        <w:rPr>
          <w:b/>
          <w:bCs/>
          <w:rtl/>
        </w:rPr>
        <w:t>תביעת המ</w:t>
      </w:r>
      <w:r w:rsidRPr="001019BE">
        <w:rPr>
          <w:rFonts w:hint="cs"/>
          <w:b/>
          <w:bCs/>
          <w:rtl/>
        </w:rPr>
        <w:t>בוטחת</w:t>
      </w:r>
      <w:r w:rsidRPr="001019BE">
        <w:rPr>
          <w:b/>
          <w:bCs/>
          <w:rtl/>
        </w:rPr>
        <w:t xml:space="preserve">. </w:t>
      </w:r>
      <w:r w:rsidRPr="001019BE">
        <w:rPr>
          <w:rFonts w:hint="cs"/>
          <w:b/>
          <w:bCs/>
          <w:rtl/>
        </w:rPr>
        <w:t>התובענה</w:t>
      </w:r>
      <w:r w:rsidRPr="001019BE">
        <w:rPr>
          <w:b/>
          <w:bCs/>
          <w:rtl/>
        </w:rPr>
        <w:t xml:space="preserve"> עוסקת בעיקרה בשיקול דעתו הרפואי של הרופא המטפל. לפיכך, יש חשיבות מיוחדת לעיון בתיעוד הרפואי המלא והכולל של ה</w:t>
      </w:r>
      <w:r w:rsidRPr="001019BE">
        <w:rPr>
          <w:rFonts w:hint="cs"/>
          <w:b/>
          <w:bCs/>
          <w:rtl/>
        </w:rPr>
        <w:t>מטופלת</w:t>
      </w:r>
      <w:r w:rsidRPr="001019BE">
        <w:rPr>
          <w:b/>
          <w:bCs/>
          <w:rtl/>
        </w:rPr>
        <w:t xml:space="preserve"> בכל תחומי הרפואה, על מנת לבחון התאמת המטופל</w:t>
      </w:r>
      <w:r w:rsidRPr="001019BE">
        <w:rPr>
          <w:rFonts w:hint="cs"/>
          <w:b/>
          <w:bCs/>
          <w:rtl/>
        </w:rPr>
        <w:t>ת</w:t>
      </w:r>
      <w:r w:rsidRPr="001019BE">
        <w:rPr>
          <w:b/>
          <w:bCs/>
          <w:rtl/>
        </w:rPr>
        <w:t xml:space="preserve"> לטיפול. </w:t>
      </w:r>
    </w:p>
    <w:p w:rsidR="000118BE" w:rsidRPr="001019BE" w:rsidRDefault="000118BE" w:rsidP="00A8553B">
      <w:pPr>
        <w:tabs>
          <w:tab w:val="left" w:pos="-110"/>
        </w:tabs>
        <w:bidi/>
        <w:spacing w:line="360" w:lineRule="auto"/>
        <w:ind w:left="72"/>
        <w:jc w:val="both"/>
        <w:rPr>
          <w:b/>
          <w:bCs/>
          <w:rtl/>
        </w:rPr>
      </w:pPr>
      <w:r w:rsidRPr="001019BE">
        <w:rPr>
          <w:b/>
          <w:bCs/>
          <w:rtl/>
        </w:rPr>
        <w:t>לפיכך</w:t>
      </w:r>
      <w:r w:rsidRPr="001019BE">
        <w:rPr>
          <w:rFonts w:hint="cs"/>
          <w:b/>
          <w:bCs/>
          <w:rtl/>
        </w:rPr>
        <w:t>, הורה בית הדין הארצי</w:t>
      </w:r>
      <w:r w:rsidRPr="001019BE">
        <w:rPr>
          <w:b/>
          <w:bCs/>
          <w:rtl/>
        </w:rPr>
        <w:t xml:space="preserve"> </w:t>
      </w:r>
      <w:r w:rsidRPr="001019BE">
        <w:rPr>
          <w:rFonts w:hint="cs"/>
          <w:b/>
          <w:bCs/>
          <w:rtl/>
        </w:rPr>
        <w:t>לתובעת</w:t>
      </w:r>
      <w:r w:rsidRPr="001019BE">
        <w:rPr>
          <w:b/>
          <w:bCs/>
          <w:rtl/>
        </w:rPr>
        <w:t xml:space="preserve"> </w:t>
      </w:r>
      <w:r w:rsidRPr="001019BE">
        <w:rPr>
          <w:rFonts w:hint="cs"/>
          <w:b/>
          <w:bCs/>
          <w:rtl/>
        </w:rPr>
        <w:t>לה</w:t>
      </w:r>
      <w:r w:rsidRPr="001019BE">
        <w:rPr>
          <w:b/>
          <w:bCs/>
          <w:rtl/>
        </w:rPr>
        <w:t>עביר ל</w:t>
      </w:r>
      <w:r w:rsidRPr="001019BE">
        <w:rPr>
          <w:rFonts w:hint="cs"/>
          <w:b/>
          <w:bCs/>
          <w:rtl/>
        </w:rPr>
        <w:t>מרפאה</w:t>
      </w:r>
      <w:r w:rsidRPr="001019BE">
        <w:rPr>
          <w:b/>
          <w:bCs/>
          <w:rtl/>
        </w:rPr>
        <w:t xml:space="preserve"> טופס ויתור על סודיות רפואית כולל ומקיף</w:t>
      </w:r>
      <w:r w:rsidRPr="001019BE">
        <w:rPr>
          <w:rFonts w:hint="cs"/>
          <w:b/>
          <w:bCs/>
          <w:rtl/>
        </w:rPr>
        <w:t xml:space="preserve"> חתום על ידה, תוך 3 ימים מיום המצאת פסק הדין</w:t>
      </w:r>
      <w:r w:rsidRPr="001019BE">
        <w:rPr>
          <w:b/>
          <w:bCs/>
          <w:rtl/>
        </w:rPr>
        <w:t>, בכפוף להתחייבות</w:t>
      </w:r>
      <w:r w:rsidRPr="001019BE">
        <w:rPr>
          <w:rFonts w:hint="cs"/>
          <w:b/>
          <w:bCs/>
          <w:rtl/>
        </w:rPr>
        <w:t>ה של קופת החולים</w:t>
      </w:r>
      <w:r w:rsidRPr="001019BE">
        <w:rPr>
          <w:b/>
          <w:bCs/>
          <w:rtl/>
        </w:rPr>
        <w:t xml:space="preserve"> כי לא ייעשה שימוש בתיעוד הרפואי בעניינה, פרט להליך משפטי</w:t>
      </w:r>
      <w:r w:rsidRPr="001019BE">
        <w:rPr>
          <w:rFonts w:hint="cs"/>
          <w:b/>
          <w:bCs/>
          <w:rtl/>
        </w:rPr>
        <w:t xml:space="preserve"> זה</w:t>
      </w:r>
      <w:r w:rsidRPr="001019BE">
        <w:rPr>
          <w:b/>
          <w:bCs/>
          <w:rtl/>
        </w:rPr>
        <w:t>.</w:t>
      </w:r>
    </w:p>
    <w:p w:rsidR="000118BE" w:rsidRDefault="000118BE" w:rsidP="00A8553B">
      <w:pPr>
        <w:tabs>
          <w:tab w:val="left" w:pos="0"/>
          <w:tab w:val="left" w:pos="288"/>
          <w:tab w:val="left" w:pos="720"/>
          <w:tab w:val="left" w:pos="1296"/>
        </w:tabs>
        <w:bidi/>
        <w:adjustRightInd w:val="0"/>
        <w:spacing w:line="360" w:lineRule="auto"/>
        <w:jc w:val="both"/>
        <w:rPr>
          <w:rFonts w:eastAsia="Calibri"/>
          <w:sz w:val="22"/>
          <w:szCs w:val="22"/>
          <w:rtl/>
        </w:rPr>
      </w:pPr>
      <w:r w:rsidRPr="00810EB0">
        <w:rPr>
          <w:rFonts w:eastAsia="Calibri"/>
          <w:sz w:val="22"/>
          <w:szCs w:val="22"/>
          <w:rtl/>
        </w:rPr>
        <w:t>עע (ארצי) 26828-09-13</w:t>
      </w:r>
      <w:r w:rsidRPr="00810EB0">
        <w:rPr>
          <w:rFonts w:eastAsia="Calibri" w:hint="cs"/>
          <w:sz w:val="22"/>
          <w:szCs w:val="22"/>
          <w:rtl/>
        </w:rPr>
        <w:t xml:space="preserve"> </w:t>
      </w:r>
      <w:r w:rsidRPr="0013768B">
        <w:rPr>
          <w:rFonts w:ascii="Arial" w:eastAsia="Calibri" w:hAnsi="Arial" w:cs="Arial"/>
          <w:color w:val="FF0000"/>
          <w:sz w:val="22"/>
          <w:szCs w:val="22"/>
        </w:rPr>
        <w:t>●</w:t>
      </w:r>
      <w:r w:rsidRPr="00810EB0">
        <w:rPr>
          <w:rFonts w:eastAsia="Calibri" w:hint="cs"/>
          <w:sz w:val="22"/>
          <w:szCs w:val="22"/>
          <w:rtl/>
        </w:rPr>
        <w:t xml:space="preserve"> </w:t>
      </w:r>
      <w:r w:rsidRPr="004540FC">
        <w:rPr>
          <w:rFonts w:eastAsia="Calibri"/>
          <w:b/>
          <w:bCs/>
          <w:color w:val="FF0000"/>
          <w:sz w:val="22"/>
          <w:szCs w:val="22"/>
          <w:rtl/>
        </w:rPr>
        <w:t>קופת חולים כללית - מרפאת שיניים ש.ל.ה נ' חנה גבאי</w:t>
      </w:r>
      <w:r w:rsidRPr="004540FC">
        <w:rPr>
          <w:rFonts w:eastAsia="Calibri"/>
          <w:color w:val="FF0000"/>
          <w:sz w:val="22"/>
          <w:szCs w:val="22"/>
          <w:rtl/>
        </w:rPr>
        <w:t xml:space="preserve"> </w:t>
      </w:r>
      <w:r w:rsidRPr="00810EB0">
        <w:rPr>
          <w:rFonts w:eastAsia="Calibri" w:hint="cs"/>
          <w:sz w:val="22"/>
          <w:szCs w:val="22"/>
          <w:rtl/>
        </w:rPr>
        <w:t xml:space="preserve">(24.12.13) </w:t>
      </w:r>
      <w:r w:rsidRPr="00810EB0">
        <w:rPr>
          <w:rFonts w:eastAsia="Calibri"/>
          <w:sz w:val="22"/>
          <w:szCs w:val="22"/>
        </w:rPr>
        <w:t xml:space="preserve"> </w:t>
      </w:r>
      <w:r w:rsidRPr="0013768B">
        <w:rPr>
          <w:rFonts w:ascii="Arial" w:eastAsia="Calibri" w:hAnsi="Arial" w:cs="Arial"/>
          <w:color w:val="FF0000"/>
          <w:sz w:val="22"/>
          <w:szCs w:val="22"/>
        </w:rPr>
        <w:t>●</w:t>
      </w:r>
      <w:r w:rsidRPr="00810EB0">
        <w:rPr>
          <w:rFonts w:eastAsia="Calibri" w:hint="cs"/>
          <w:sz w:val="22"/>
          <w:szCs w:val="22"/>
          <w:rtl/>
        </w:rPr>
        <w:t xml:space="preserve">בפני כבוד </w:t>
      </w:r>
      <w:r w:rsidRPr="00810EB0">
        <w:rPr>
          <w:rFonts w:eastAsia="Calibri"/>
          <w:sz w:val="22"/>
          <w:szCs w:val="22"/>
          <w:rtl/>
        </w:rPr>
        <w:t xml:space="preserve">סגנית הנשיא ורדה וירט-ליבנה, </w:t>
      </w:r>
      <w:r w:rsidRPr="00810EB0">
        <w:rPr>
          <w:rFonts w:eastAsia="Calibri" w:hint="cs"/>
          <w:sz w:val="22"/>
          <w:szCs w:val="22"/>
          <w:rtl/>
        </w:rPr>
        <w:t xml:space="preserve">כבוד </w:t>
      </w:r>
      <w:r w:rsidRPr="00810EB0">
        <w:rPr>
          <w:rFonts w:eastAsia="Calibri"/>
          <w:sz w:val="22"/>
          <w:szCs w:val="22"/>
          <w:rtl/>
        </w:rPr>
        <w:t xml:space="preserve">השופט אילן איטח, </w:t>
      </w:r>
      <w:r w:rsidRPr="00810EB0">
        <w:rPr>
          <w:rFonts w:eastAsia="Calibri" w:hint="cs"/>
          <w:sz w:val="22"/>
          <w:szCs w:val="22"/>
          <w:rtl/>
        </w:rPr>
        <w:t xml:space="preserve">כבוד </w:t>
      </w:r>
      <w:r w:rsidRPr="00810EB0">
        <w:rPr>
          <w:rFonts w:eastAsia="Calibri"/>
          <w:sz w:val="22"/>
          <w:szCs w:val="22"/>
          <w:rtl/>
        </w:rPr>
        <w:t>השופטת סיגל דוידוב-מוטולה</w:t>
      </w:r>
      <w:r w:rsidRPr="00810EB0">
        <w:rPr>
          <w:rFonts w:eastAsia="Calibri" w:hint="cs"/>
          <w:sz w:val="22"/>
          <w:szCs w:val="22"/>
          <w:rtl/>
        </w:rPr>
        <w:t xml:space="preserve">, </w:t>
      </w:r>
      <w:bookmarkStart w:id="145" w:name="LastJudge"/>
      <w:r w:rsidRPr="00810EB0">
        <w:rPr>
          <w:rFonts w:eastAsia="Calibri"/>
          <w:sz w:val="22"/>
          <w:szCs w:val="22"/>
          <w:rtl/>
        </w:rPr>
        <w:t>נ</w:t>
      </w:r>
      <w:r w:rsidRPr="00810EB0">
        <w:rPr>
          <w:rFonts w:eastAsia="Calibri" w:hint="cs"/>
          <w:sz w:val="22"/>
          <w:szCs w:val="22"/>
          <w:rtl/>
        </w:rPr>
        <w:t>.</w:t>
      </w:r>
      <w:r w:rsidRPr="00810EB0">
        <w:rPr>
          <w:rFonts w:eastAsia="Calibri"/>
          <w:sz w:val="22"/>
          <w:szCs w:val="22"/>
          <w:rtl/>
        </w:rPr>
        <w:t>ע</w:t>
      </w:r>
      <w:bookmarkEnd w:id="145"/>
      <w:r w:rsidRPr="00810EB0">
        <w:rPr>
          <w:rFonts w:eastAsia="Calibri" w:hint="cs"/>
          <w:sz w:val="22"/>
          <w:szCs w:val="22"/>
          <w:rtl/>
        </w:rPr>
        <w:t>.</w:t>
      </w:r>
      <w:r w:rsidRPr="00810EB0">
        <w:rPr>
          <w:rFonts w:eastAsia="Calibri"/>
          <w:sz w:val="22"/>
          <w:szCs w:val="22"/>
          <w:rtl/>
        </w:rPr>
        <w:t xml:space="preserve"> מר אלי וייץ, נ</w:t>
      </w:r>
      <w:r w:rsidRPr="00810EB0">
        <w:rPr>
          <w:rFonts w:eastAsia="Calibri" w:hint="cs"/>
          <w:sz w:val="22"/>
          <w:szCs w:val="22"/>
          <w:rtl/>
        </w:rPr>
        <w:t xml:space="preserve">.מ. </w:t>
      </w:r>
      <w:r w:rsidRPr="00810EB0">
        <w:rPr>
          <w:rFonts w:eastAsia="Calibri"/>
          <w:sz w:val="22"/>
          <w:szCs w:val="22"/>
          <w:rtl/>
        </w:rPr>
        <w:t>מר יצחק קאול</w:t>
      </w:r>
      <w:r w:rsidRPr="00810EB0">
        <w:rPr>
          <w:rFonts w:eastAsia="Calibri" w:hint="cs"/>
          <w:sz w:val="22"/>
          <w:szCs w:val="22"/>
          <w:rtl/>
        </w:rPr>
        <w:t>.</w:t>
      </w:r>
    </w:p>
    <w:p w:rsidR="000118BE" w:rsidRPr="00BD3500" w:rsidRDefault="000118BE" w:rsidP="00A8553B">
      <w:pPr>
        <w:tabs>
          <w:tab w:val="left" w:pos="0"/>
          <w:tab w:val="left" w:pos="288"/>
          <w:tab w:val="left" w:pos="720"/>
          <w:tab w:val="left" w:pos="1296"/>
        </w:tabs>
        <w:bidi/>
        <w:adjustRightInd w:val="0"/>
        <w:spacing w:line="360" w:lineRule="auto"/>
        <w:jc w:val="both"/>
        <w:rPr>
          <w:rFonts w:eastAsia="Calibri"/>
          <w:color w:val="0000FF"/>
          <w:sz w:val="22"/>
          <w:szCs w:val="22"/>
          <w:rtl/>
        </w:rPr>
      </w:pPr>
    </w:p>
    <w:p w:rsidR="000118BE" w:rsidRPr="00BD3500" w:rsidRDefault="000118BE" w:rsidP="00A8553B">
      <w:pPr>
        <w:numPr>
          <w:ilvl w:val="0"/>
          <w:numId w:val="33"/>
        </w:numPr>
        <w:tabs>
          <w:tab w:val="left" w:pos="-110"/>
          <w:tab w:val="left" w:pos="9048"/>
          <w:tab w:val="left" w:pos="9228"/>
        </w:tabs>
        <w:bidi/>
        <w:spacing w:line="360" w:lineRule="auto"/>
        <w:ind w:right="-180"/>
        <w:jc w:val="both"/>
        <w:rPr>
          <w:rFonts w:ascii="Arial" w:hAnsi="Arial"/>
          <w:b/>
          <w:bCs/>
          <w:color w:val="0000FF"/>
          <w:sz w:val="24"/>
          <w:u w:val="single"/>
          <w:rtl/>
        </w:rPr>
      </w:pPr>
      <w:r w:rsidRPr="00BD3500">
        <w:rPr>
          <w:rFonts w:ascii="Arial" w:hAnsi="Arial" w:hint="cs"/>
          <w:b/>
          <w:bCs/>
          <w:color w:val="0000FF"/>
          <w:sz w:val="24"/>
          <w:u w:val="single"/>
          <w:rtl/>
        </w:rPr>
        <w:t>מנכ"ל חברה שהתפטר כדי להתחרות, לכאורה, חויב לחשוף מסמכים על מגעי התחרות</w:t>
      </w:r>
    </w:p>
    <w:p w:rsidR="000118BE" w:rsidRPr="00810EB0" w:rsidRDefault="000118BE" w:rsidP="00A8553B">
      <w:pPr>
        <w:tabs>
          <w:tab w:val="left" w:pos="-110"/>
        </w:tabs>
        <w:bidi/>
        <w:spacing w:line="360" w:lineRule="auto"/>
        <w:ind w:left="72"/>
        <w:jc w:val="both"/>
        <w:rPr>
          <w:b/>
          <w:bCs/>
          <w:rtl/>
        </w:rPr>
      </w:pPr>
    </w:p>
    <w:p w:rsidR="000118BE" w:rsidRPr="00810EB0" w:rsidRDefault="000118BE" w:rsidP="00A8553B">
      <w:pPr>
        <w:tabs>
          <w:tab w:val="left" w:pos="-110"/>
        </w:tabs>
        <w:bidi/>
        <w:spacing w:line="360" w:lineRule="auto"/>
        <w:ind w:left="72"/>
        <w:jc w:val="both"/>
        <w:rPr>
          <w:b/>
          <w:bCs/>
          <w:rtl/>
        </w:rPr>
      </w:pPr>
      <w:r w:rsidRPr="00810EB0">
        <w:rPr>
          <w:rFonts w:hint="cs"/>
          <w:b/>
          <w:bCs/>
          <w:rtl/>
        </w:rPr>
        <w:t>בית הדין הארצי לעבודה קיבל בחלקו ערעור של חברת שטייניץ כנגד המנכ"ל לשעבר, בעניין גילוי מסמכים ספציפי.</w:t>
      </w:r>
    </w:p>
    <w:p w:rsidR="000118BE" w:rsidRPr="00810EB0" w:rsidRDefault="000118BE" w:rsidP="008F590E">
      <w:pPr>
        <w:tabs>
          <w:tab w:val="left" w:pos="-110"/>
        </w:tabs>
        <w:bidi/>
        <w:spacing w:line="360" w:lineRule="auto"/>
        <w:ind w:left="72"/>
        <w:jc w:val="both"/>
        <w:rPr>
          <w:b/>
          <w:bCs/>
          <w:rtl/>
        </w:rPr>
      </w:pPr>
      <w:r w:rsidRPr="00810EB0">
        <w:rPr>
          <w:rFonts w:hint="cs"/>
          <w:b/>
          <w:bCs/>
          <w:rtl/>
        </w:rPr>
        <w:t>המנכ"ל לשעבר,</w:t>
      </w:r>
      <w:r w:rsidRPr="00810EB0">
        <w:rPr>
          <w:b/>
          <w:bCs/>
          <w:rtl/>
        </w:rPr>
        <w:t xml:space="preserve"> הגיש בבי</w:t>
      </w:r>
      <w:r w:rsidRPr="00810EB0">
        <w:rPr>
          <w:rFonts w:hint="cs"/>
          <w:b/>
          <w:bCs/>
          <w:rtl/>
        </w:rPr>
        <w:t>ת-הדין</w:t>
      </w:r>
      <w:r w:rsidRPr="00810EB0">
        <w:rPr>
          <w:b/>
          <w:bCs/>
          <w:rtl/>
        </w:rPr>
        <w:t xml:space="preserve"> האזורי לעבודה תביעה לתשלום פיצויי פיטורים. לטענתו, התפטר לאחר שפעילות החברה נמכרה</w:t>
      </w:r>
      <w:r w:rsidRPr="00810EB0">
        <w:rPr>
          <w:rFonts w:hint="cs"/>
          <w:b/>
          <w:bCs/>
          <w:rtl/>
        </w:rPr>
        <w:t xml:space="preserve">, </w:t>
      </w:r>
      <w:r w:rsidRPr="00810EB0">
        <w:rPr>
          <w:b/>
          <w:bCs/>
          <w:rtl/>
        </w:rPr>
        <w:t xml:space="preserve">עובדי החברה פוטרו ותפקידו רוקן מתוכן. החברה טענה כי הפסיק את עבודתו </w:t>
      </w:r>
      <w:r w:rsidRPr="00810EB0">
        <w:rPr>
          <w:rFonts w:hint="cs"/>
          <w:b/>
          <w:bCs/>
          <w:rtl/>
        </w:rPr>
        <w:t xml:space="preserve">טרם המועד המוסכם, </w:t>
      </w:r>
      <w:r w:rsidRPr="00810EB0">
        <w:rPr>
          <w:b/>
          <w:bCs/>
          <w:rtl/>
        </w:rPr>
        <w:t xml:space="preserve">עקב כך שעוד במהלך תקופת עבודתו בחברה התקשר עם חברה </w:t>
      </w:r>
      <w:r w:rsidRPr="00810EB0">
        <w:rPr>
          <w:b/>
          <w:bCs/>
          <w:rtl/>
        </w:rPr>
        <w:lastRenderedPageBreak/>
        <w:t>מתחרה, ורקם עמה תוכניות לגזול שני ספקים עיקריים בלעדיים של החברה. כן טענה החברה כי הוצע למ</w:t>
      </w:r>
      <w:r w:rsidRPr="00810EB0">
        <w:rPr>
          <w:rFonts w:hint="cs"/>
          <w:b/>
          <w:bCs/>
          <w:rtl/>
        </w:rPr>
        <w:t>נכ"ל</w:t>
      </w:r>
      <w:r w:rsidRPr="00810EB0">
        <w:rPr>
          <w:b/>
          <w:bCs/>
          <w:rtl/>
        </w:rPr>
        <w:t xml:space="preserve"> לעבור לעבוד בחבר</w:t>
      </w:r>
      <w:r w:rsidRPr="00810EB0">
        <w:rPr>
          <w:rFonts w:hint="cs"/>
          <w:b/>
          <w:bCs/>
          <w:rtl/>
        </w:rPr>
        <w:t>ה הרוכשת</w:t>
      </w:r>
      <w:r w:rsidRPr="00810EB0">
        <w:rPr>
          <w:b/>
          <w:bCs/>
          <w:rtl/>
        </w:rPr>
        <w:t>, וה</w:t>
      </w:r>
      <w:r w:rsidRPr="00810EB0">
        <w:rPr>
          <w:rFonts w:hint="cs"/>
          <w:b/>
          <w:bCs/>
          <w:rtl/>
        </w:rPr>
        <w:t>וא</w:t>
      </w:r>
      <w:r w:rsidRPr="00810EB0">
        <w:rPr>
          <w:b/>
          <w:bCs/>
          <w:rtl/>
        </w:rPr>
        <w:t xml:space="preserve"> סירב להצעה זו לאור כוונתו להתקשר עם </w:t>
      </w:r>
      <w:r w:rsidRPr="00810EB0">
        <w:rPr>
          <w:rFonts w:hint="cs"/>
          <w:b/>
          <w:bCs/>
          <w:rtl/>
        </w:rPr>
        <w:t>החברה המתחרה</w:t>
      </w:r>
      <w:r w:rsidR="008F590E">
        <w:rPr>
          <w:b/>
          <w:bCs/>
          <w:rtl/>
        </w:rPr>
        <w:t xml:space="preserve">. </w:t>
      </w:r>
      <w:r w:rsidRPr="00810EB0">
        <w:rPr>
          <w:rFonts w:hint="cs"/>
          <w:b/>
          <w:bCs/>
          <w:rtl/>
        </w:rPr>
        <w:t>החברה</w:t>
      </w:r>
      <w:r w:rsidRPr="00810EB0">
        <w:rPr>
          <w:b/>
          <w:bCs/>
          <w:rtl/>
        </w:rPr>
        <w:t xml:space="preserve"> הגישה </w:t>
      </w:r>
      <w:r w:rsidRPr="00810EB0">
        <w:rPr>
          <w:rFonts w:hint="cs"/>
          <w:b/>
          <w:bCs/>
          <w:rtl/>
        </w:rPr>
        <w:t xml:space="preserve">לבית הדין האזורי </w:t>
      </w:r>
      <w:r w:rsidRPr="00810EB0">
        <w:rPr>
          <w:b/>
          <w:bCs/>
          <w:rtl/>
        </w:rPr>
        <w:t xml:space="preserve">בקשה לגילוי מסמכים ספציפי, לחייב את המשיב לגלות מסמכים הנוגעים להתקשרות ו/או למשא ומתן ליצירת </w:t>
      </w:r>
      <w:r w:rsidRPr="00810EB0">
        <w:rPr>
          <w:rFonts w:hint="cs"/>
          <w:b/>
          <w:bCs/>
          <w:rtl/>
        </w:rPr>
        <w:t>ה</w:t>
      </w:r>
      <w:r w:rsidRPr="00810EB0">
        <w:rPr>
          <w:b/>
          <w:bCs/>
          <w:rtl/>
        </w:rPr>
        <w:t xml:space="preserve">התקשרות </w:t>
      </w:r>
      <w:r w:rsidRPr="00810EB0">
        <w:rPr>
          <w:rFonts w:hint="cs"/>
          <w:b/>
          <w:bCs/>
          <w:rtl/>
        </w:rPr>
        <w:t>המתחרה של</w:t>
      </w:r>
      <w:r w:rsidRPr="00810EB0">
        <w:rPr>
          <w:b/>
          <w:bCs/>
          <w:rtl/>
        </w:rPr>
        <w:t xml:space="preserve"> המ</w:t>
      </w:r>
      <w:r w:rsidRPr="00810EB0">
        <w:rPr>
          <w:rFonts w:hint="cs"/>
          <w:b/>
          <w:bCs/>
          <w:rtl/>
        </w:rPr>
        <w:t xml:space="preserve">נכ"ל. </w:t>
      </w:r>
      <w:r w:rsidRPr="00810EB0">
        <w:rPr>
          <w:b/>
          <w:bCs/>
          <w:rtl/>
        </w:rPr>
        <w:t xml:space="preserve">הבקשה נדחתה ומכאן הערעור. </w:t>
      </w:r>
    </w:p>
    <w:p w:rsidR="000118BE" w:rsidRPr="00810EB0" w:rsidRDefault="000118BE" w:rsidP="00A8553B">
      <w:pPr>
        <w:tabs>
          <w:tab w:val="left" w:pos="-110"/>
        </w:tabs>
        <w:bidi/>
        <w:spacing w:line="360" w:lineRule="auto"/>
        <w:ind w:left="72"/>
        <w:jc w:val="both"/>
        <w:rPr>
          <w:b/>
          <w:bCs/>
          <w:rtl/>
        </w:rPr>
      </w:pPr>
      <w:r w:rsidRPr="00810EB0">
        <w:rPr>
          <w:rFonts w:hint="cs"/>
          <w:b/>
          <w:bCs/>
          <w:rtl/>
        </w:rPr>
        <w:t>בית-הדין הארצי</w:t>
      </w:r>
      <w:r w:rsidRPr="00810EB0">
        <w:rPr>
          <w:b/>
          <w:bCs/>
          <w:rtl/>
        </w:rPr>
        <w:t xml:space="preserve"> ציין</w:t>
      </w:r>
      <w:r w:rsidRPr="00810EB0">
        <w:rPr>
          <w:rFonts w:hint="cs"/>
          <w:b/>
          <w:bCs/>
          <w:rtl/>
        </w:rPr>
        <w:t>,</w:t>
      </w:r>
      <w:r w:rsidRPr="00810EB0">
        <w:rPr>
          <w:b/>
          <w:bCs/>
          <w:rtl/>
        </w:rPr>
        <w:t xml:space="preserve"> כי ככל שמתקיים מבחן הרל</w:t>
      </w:r>
      <w:r w:rsidRPr="00810EB0">
        <w:rPr>
          <w:rFonts w:hint="cs"/>
          <w:b/>
          <w:bCs/>
          <w:rtl/>
        </w:rPr>
        <w:t>וו</w:t>
      </w:r>
      <w:r w:rsidRPr="00810EB0">
        <w:rPr>
          <w:b/>
          <w:bCs/>
          <w:rtl/>
        </w:rPr>
        <w:t>נטיות על</w:t>
      </w:r>
      <w:r w:rsidRPr="00810EB0">
        <w:rPr>
          <w:rFonts w:hint="cs"/>
          <w:b/>
          <w:bCs/>
          <w:rtl/>
        </w:rPr>
        <w:t xml:space="preserve">יו </w:t>
      </w:r>
      <w:r w:rsidRPr="00810EB0">
        <w:rPr>
          <w:b/>
          <w:bCs/>
          <w:rtl/>
        </w:rPr>
        <w:t>להידרש לאיזון הראוי בין זכות הגילוי לבין זכויות ואינטרסים לגיטימיים המוכרים בהלכה כשוללים גילוי, וכן לשקול האם קיימת דרך חלופית למיצוי זכויות המבקש, שלא על דרך הגילוי</w:t>
      </w:r>
      <w:r w:rsidRPr="00810EB0">
        <w:rPr>
          <w:rFonts w:hint="cs"/>
          <w:b/>
          <w:bCs/>
          <w:rtl/>
        </w:rPr>
        <w:t>.</w:t>
      </w:r>
    </w:p>
    <w:p w:rsidR="000118BE" w:rsidRPr="00810EB0" w:rsidRDefault="000118BE" w:rsidP="00A8553B">
      <w:pPr>
        <w:tabs>
          <w:tab w:val="left" w:pos="-110"/>
        </w:tabs>
        <w:bidi/>
        <w:spacing w:line="360" w:lineRule="auto"/>
        <w:ind w:left="72"/>
        <w:jc w:val="both"/>
        <w:rPr>
          <w:b/>
          <w:bCs/>
          <w:rtl/>
        </w:rPr>
      </w:pPr>
      <w:r w:rsidRPr="00810EB0">
        <w:rPr>
          <w:rFonts w:hint="cs"/>
          <w:b/>
          <w:bCs/>
          <w:rtl/>
        </w:rPr>
        <w:t xml:space="preserve">בענייננו, קבע בית הדין כי </w:t>
      </w:r>
      <w:r w:rsidRPr="00810EB0">
        <w:rPr>
          <w:b/>
          <w:bCs/>
          <w:rtl/>
        </w:rPr>
        <w:t>מסמכי ההתקשרות בין המ</w:t>
      </w:r>
      <w:r w:rsidRPr="00810EB0">
        <w:rPr>
          <w:rFonts w:hint="cs"/>
          <w:b/>
          <w:bCs/>
          <w:rtl/>
        </w:rPr>
        <w:t>נכ"ל</w:t>
      </w:r>
      <w:r w:rsidRPr="00810EB0">
        <w:rPr>
          <w:b/>
          <w:bCs/>
          <w:rtl/>
        </w:rPr>
        <w:t xml:space="preserve"> </w:t>
      </w:r>
      <w:r w:rsidRPr="00810EB0">
        <w:rPr>
          <w:rFonts w:hint="cs"/>
          <w:b/>
          <w:bCs/>
          <w:rtl/>
        </w:rPr>
        <w:t xml:space="preserve">לחברה המתחרה הינם </w:t>
      </w:r>
      <w:r w:rsidRPr="00810EB0">
        <w:rPr>
          <w:b/>
          <w:bCs/>
          <w:rtl/>
        </w:rPr>
        <w:t>רל</w:t>
      </w:r>
      <w:r w:rsidRPr="00810EB0">
        <w:rPr>
          <w:rFonts w:hint="cs"/>
          <w:b/>
          <w:bCs/>
          <w:rtl/>
        </w:rPr>
        <w:t>וו</w:t>
      </w:r>
      <w:r w:rsidRPr="00810EB0">
        <w:rPr>
          <w:b/>
          <w:bCs/>
          <w:rtl/>
        </w:rPr>
        <w:t>נטיים למחלוקת</w:t>
      </w:r>
      <w:r w:rsidRPr="00810EB0">
        <w:rPr>
          <w:rFonts w:hint="cs"/>
          <w:b/>
          <w:bCs/>
          <w:rtl/>
        </w:rPr>
        <w:t>,</w:t>
      </w:r>
      <w:r w:rsidRPr="00810EB0">
        <w:rPr>
          <w:b/>
          <w:bCs/>
          <w:rtl/>
        </w:rPr>
        <w:t xml:space="preserve"> ש</w:t>
      </w:r>
      <w:r w:rsidRPr="00810EB0">
        <w:rPr>
          <w:rFonts w:hint="cs"/>
          <w:b/>
          <w:bCs/>
          <w:rtl/>
        </w:rPr>
        <w:t xml:space="preserve">כן ניתן </w:t>
      </w:r>
      <w:r w:rsidRPr="00810EB0">
        <w:rPr>
          <w:b/>
          <w:bCs/>
          <w:rtl/>
        </w:rPr>
        <w:t>ללמוד</w:t>
      </w:r>
      <w:r w:rsidRPr="00810EB0">
        <w:rPr>
          <w:rFonts w:hint="cs"/>
          <w:b/>
          <w:bCs/>
          <w:rtl/>
        </w:rPr>
        <w:t xml:space="preserve"> מהם</w:t>
      </w:r>
      <w:r w:rsidRPr="00810EB0">
        <w:rPr>
          <w:b/>
          <w:bCs/>
          <w:rtl/>
        </w:rPr>
        <w:t xml:space="preserve"> על מועד ההתקשרות </w:t>
      </w:r>
      <w:r w:rsidRPr="00810EB0">
        <w:rPr>
          <w:rFonts w:hint="cs"/>
          <w:b/>
          <w:bCs/>
          <w:rtl/>
        </w:rPr>
        <w:t>ביניהם</w:t>
      </w:r>
      <w:r w:rsidRPr="00810EB0">
        <w:rPr>
          <w:b/>
          <w:bCs/>
          <w:rtl/>
        </w:rPr>
        <w:t xml:space="preserve">, ובכך מתקיים ההיבט הצר של מבחן הרלוונטיות. </w:t>
      </w:r>
      <w:r w:rsidRPr="00810EB0">
        <w:rPr>
          <w:rFonts w:hint="cs"/>
          <w:b/>
          <w:bCs/>
          <w:rtl/>
        </w:rPr>
        <w:t xml:space="preserve">עוד קבע בית הדין, כי </w:t>
      </w:r>
      <w:r w:rsidRPr="00810EB0">
        <w:rPr>
          <w:b/>
          <w:bCs/>
          <w:rtl/>
        </w:rPr>
        <w:t>גם מסמכים והתכתבויות הנוגעים למו"מ וליצירת התקשרות בין ה</w:t>
      </w:r>
      <w:r w:rsidRPr="00810EB0">
        <w:rPr>
          <w:rFonts w:hint="cs"/>
          <w:b/>
          <w:bCs/>
          <w:rtl/>
        </w:rPr>
        <w:t>מנכ"ל</w:t>
      </w:r>
      <w:r w:rsidRPr="00810EB0">
        <w:rPr>
          <w:b/>
          <w:bCs/>
          <w:rtl/>
        </w:rPr>
        <w:t xml:space="preserve"> </w:t>
      </w:r>
      <w:r w:rsidRPr="00810EB0">
        <w:rPr>
          <w:rFonts w:hint="cs"/>
          <w:b/>
          <w:bCs/>
          <w:rtl/>
        </w:rPr>
        <w:t>לחברה הרוכשת</w:t>
      </w:r>
      <w:r w:rsidRPr="00810EB0">
        <w:rPr>
          <w:b/>
          <w:bCs/>
          <w:rtl/>
        </w:rPr>
        <w:t xml:space="preserve"> רלוונטיים, שכן יש בהם כדי להעיד על הסיבות לסיום קשר העבודה בין ה</w:t>
      </w:r>
      <w:r w:rsidRPr="00810EB0">
        <w:rPr>
          <w:rFonts w:hint="cs"/>
          <w:b/>
          <w:bCs/>
          <w:rtl/>
        </w:rPr>
        <w:t>מנכ"ל</w:t>
      </w:r>
      <w:r w:rsidRPr="00810EB0">
        <w:rPr>
          <w:b/>
          <w:bCs/>
          <w:rtl/>
        </w:rPr>
        <w:t xml:space="preserve"> לחברה, שכן טענת החברה היא שה</w:t>
      </w:r>
      <w:r w:rsidRPr="00810EB0">
        <w:rPr>
          <w:rFonts w:hint="cs"/>
          <w:b/>
          <w:bCs/>
          <w:rtl/>
        </w:rPr>
        <w:t>מנכ"ל</w:t>
      </w:r>
      <w:r w:rsidRPr="00810EB0">
        <w:rPr>
          <w:b/>
          <w:bCs/>
          <w:rtl/>
        </w:rPr>
        <w:t xml:space="preserve"> התפטר מעבודתו בחברה לא עקב מכירת פעילותה וריקון תפקידו מתוכן אלא בשל התקשרותו עם </w:t>
      </w:r>
      <w:r w:rsidRPr="00810EB0">
        <w:rPr>
          <w:rFonts w:hint="cs"/>
          <w:b/>
          <w:bCs/>
          <w:rtl/>
        </w:rPr>
        <w:t>החברה המתחרה, לטענתה</w:t>
      </w:r>
      <w:r w:rsidRPr="00810EB0">
        <w:rPr>
          <w:b/>
          <w:bCs/>
          <w:rtl/>
        </w:rPr>
        <w:t>.</w:t>
      </w:r>
    </w:p>
    <w:p w:rsidR="000118BE" w:rsidRPr="00810EB0" w:rsidRDefault="000118BE" w:rsidP="00A8553B">
      <w:pPr>
        <w:tabs>
          <w:tab w:val="left" w:pos="-110"/>
        </w:tabs>
        <w:bidi/>
        <w:spacing w:line="360" w:lineRule="auto"/>
        <w:ind w:left="72"/>
        <w:jc w:val="both"/>
        <w:rPr>
          <w:b/>
          <w:bCs/>
          <w:rtl/>
        </w:rPr>
      </w:pPr>
      <w:r w:rsidRPr="00810EB0">
        <w:rPr>
          <w:rFonts w:hint="cs"/>
          <w:b/>
          <w:bCs/>
          <w:rtl/>
        </w:rPr>
        <w:t xml:space="preserve">בית הדין הארצי קבע, כי </w:t>
      </w:r>
      <w:r w:rsidRPr="00810EB0">
        <w:rPr>
          <w:b/>
          <w:bCs/>
          <w:rtl/>
        </w:rPr>
        <w:t>צד להליך חייב לגלות לבעל הדין שכנגד גם "מסמכים מועילים" העשויים לתמוך בטענותיו, ואין פסול בכך שהחברה מבקשת להוכיח את גרסתה גם באמצעות מסמכים של המ</w:t>
      </w:r>
      <w:r w:rsidRPr="00810EB0">
        <w:rPr>
          <w:rFonts w:hint="cs"/>
          <w:b/>
          <w:bCs/>
          <w:rtl/>
        </w:rPr>
        <w:t>נכ"ל</w:t>
      </w:r>
      <w:r w:rsidRPr="00810EB0">
        <w:rPr>
          <w:b/>
          <w:bCs/>
          <w:rtl/>
        </w:rPr>
        <w:t xml:space="preserve">. יחד עם זאת, </w:t>
      </w:r>
      <w:r w:rsidRPr="00810EB0">
        <w:rPr>
          <w:rFonts w:hint="cs"/>
          <w:b/>
          <w:bCs/>
          <w:rtl/>
        </w:rPr>
        <w:t xml:space="preserve">קבע בית הדין הארצי, כי </w:t>
      </w:r>
      <w:r w:rsidRPr="00810EB0">
        <w:rPr>
          <w:b/>
          <w:bCs/>
          <w:rtl/>
        </w:rPr>
        <w:t xml:space="preserve">די בגילוי מסמכים </w:t>
      </w:r>
      <w:r w:rsidRPr="00810EB0">
        <w:rPr>
          <w:rFonts w:hint="cs"/>
          <w:b/>
          <w:bCs/>
          <w:rtl/>
        </w:rPr>
        <w:t xml:space="preserve">חלקי </w:t>
      </w:r>
      <w:r w:rsidRPr="00810EB0">
        <w:rPr>
          <w:b/>
          <w:bCs/>
          <w:rtl/>
        </w:rPr>
        <w:t xml:space="preserve">הנוגעים למועד ההתקשרות בין המשיב </w:t>
      </w:r>
      <w:r w:rsidRPr="00810EB0">
        <w:rPr>
          <w:rFonts w:hint="cs"/>
          <w:b/>
          <w:bCs/>
          <w:rtl/>
        </w:rPr>
        <w:t xml:space="preserve">לחברה המתחרה </w:t>
      </w:r>
      <w:r w:rsidRPr="00810EB0">
        <w:rPr>
          <w:b/>
          <w:bCs/>
          <w:rtl/>
        </w:rPr>
        <w:t xml:space="preserve">לפרק זמן של עד שנה ממועד סיום קשר העבודה או עד לתום שנת המס </w:t>
      </w:r>
      <w:r w:rsidRPr="00810EB0">
        <w:rPr>
          <w:rFonts w:hint="cs"/>
          <w:b/>
          <w:bCs/>
          <w:rtl/>
        </w:rPr>
        <w:t>הרלבנטית.</w:t>
      </w:r>
      <w:r w:rsidRPr="00810EB0">
        <w:rPr>
          <w:b/>
          <w:bCs/>
          <w:rtl/>
        </w:rPr>
        <w:t xml:space="preserve"> </w:t>
      </w:r>
    </w:p>
    <w:p w:rsidR="00507C71" w:rsidRDefault="000118BE" w:rsidP="00A8553B">
      <w:pPr>
        <w:bidi/>
        <w:spacing w:line="360" w:lineRule="auto"/>
        <w:ind w:left="48"/>
        <w:jc w:val="both"/>
        <w:rPr>
          <w:rFonts w:ascii="David" w:hAnsi="David"/>
          <w:color w:val="000000"/>
          <w:sz w:val="22"/>
          <w:szCs w:val="22"/>
          <w:rtl/>
        </w:rPr>
      </w:pPr>
      <w:r w:rsidRPr="00810EB0">
        <w:rPr>
          <w:rFonts w:ascii="David" w:hAnsi="David"/>
          <w:color w:val="000000"/>
          <w:sz w:val="22"/>
          <w:szCs w:val="22"/>
          <w:rtl/>
        </w:rPr>
        <w:t>עע (ארצי) 1570-10-13</w:t>
      </w:r>
      <w:r w:rsidRPr="00810EB0">
        <w:rPr>
          <w:color w:val="FF0000"/>
          <w:sz w:val="22"/>
          <w:szCs w:val="22"/>
        </w:rPr>
        <w:t>●</w:t>
      </w:r>
      <w:r w:rsidRPr="00810EB0">
        <w:rPr>
          <w:sz w:val="22"/>
          <w:szCs w:val="22"/>
        </w:rPr>
        <w:t xml:space="preserve"> </w:t>
      </w:r>
      <w:r w:rsidRPr="00810EB0">
        <w:rPr>
          <w:rFonts w:hint="cs"/>
          <w:b/>
          <w:bCs/>
          <w:sz w:val="22"/>
          <w:szCs w:val="22"/>
          <w:rtl/>
        </w:rPr>
        <w:t xml:space="preserve"> </w:t>
      </w:r>
      <w:r w:rsidRPr="004540FC">
        <w:rPr>
          <w:rFonts w:ascii="David" w:hAnsi="David"/>
          <w:b/>
          <w:bCs/>
          <w:color w:val="FF0000"/>
          <w:sz w:val="22"/>
          <w:szCs w:val="22"/>
          <w:rtl/>
        </w:rPr>
        <w:t>שטייניץ הנדסת תאורה (1996) בע"מ נ' רפאל בן נון</w:t>
      </w:r>
      <w:r w:rsidRPr="004540FC">
        <w:rPr>
          <w:rFonts w:hint="cs"/>
          <w:b/>
          <w:bCs/>
          <w:color w:val="FF0000"/>
          <w:sz w:val="22"/>
          <w:szCs w:val="22"/>
          <w:rtl/>
        </w:rPr>
        <w:t xml:space="preserve"> </w:t>
      </w:r>
      <w:r w:rsidRPr="00810EB0">
        <w:rPr>
          <w:rFonts w:hint="cs"/>
          <w:sz w:val="22"/>
          <w:szCs w:val="22"/>
          <w:rtl/>
        </w:rPr>
        <w:t xml:space="preserve">(24.12.13) </w:t>
      </w:r>
      <w:r w:rsidRPr="00810EB0">
        <w:rPr>
          <w:sz w:val="22"/>
          <w:szCs w:val="22"/>
        </w:rPr>
        <w:t xml:space="preserve"> </w:t>
      </w:r>
      <w:r w:rsidRPr="00810EB0">
        <w:rPr>
          <w:color w:val="FF0000"/>
          <w:sz w:val="22"/>
          <w:szCs w:val="22"/>
        </w:rPr>
        <w:t>●</w:t>
      </w:r>
      <w:r w:rsidRPr="00810EB0">
        <w:rPr>
          <w:rFonts w:ascii="David" w:hAnsi="David" w:hint="cs"/>
          <w:color w:val="000000"/>
          <w:sz w:val="22"/>
          <w:szCs w:val="22"/>
          <w:rtl/>
        </w:rPr>
        <w:t xml:space="preserve">בפני כבוד </w:t>
      </w:r>
      <w:r w:rsidRPr="00810EB0">
        <w:rPr>
          <w:rFonts w:ascii="David" w:hAnsi="David"/>
          <w:color w:val="000000"/>
          <w:sz w:val="22"/>
          <w:szCs w:val="22"/>
          <w:rtl/>
        </w:rPr>
        <w:t xml:space="preserve">השופטת לאה גליקסמן, </w:t>
      </w:r>
      <w:r w:rsidRPr="00810EB0">
        <w:rPr>
          <w:rFonts w:ascii="David" w:hAnsi="David" w:hint="cs"/>
          <w:color w:val="000000"/>
          <w:sz w:val="22"/>
          <w:szCs w:val="22"/>
          <w:rtl/>
        </w:rPr>
        <w:t xml:space="preserve">כבוד </w:t>
      </w:r>
      <w:r w:rsidRPr="00810EB0">
        <w:rPr>
          <w:rFonts w:ascii="David" w:hAnsi="David"/>
          <w:color w:val="000000"/>
          <w:sz w:val="22"/>
          <w:szCs w:val="22"/>
          <w:rtl/>
        </w:rPr>
        <w:t xml:space="preserve">השופט אילן איטח, </w:t>
      </w:r>
      <w:r w:rsidRPr="00810EB0">
        <w:rPr>
          <w:rFonts w:ascii="David" w:hAnsi="David" w:hint="cs"/>
          <w:color w:val="000000"/>
          <w:sz w:val="22"/>
          <w:szCs w:val="22"/>
          <w:rtl/>
        </w:rPr>
        <w:t xml:space="preserve">כבוד </w:t>
      </w:r>
      <w:r w:rsidRPr="00810EB0">
        <w:rPr>
          <w:rFonts w:ascii="David" w:hAnsi="David"/>
          <w:color w:val="000000"/>
          <w:sz w:val="22"/>
          <w:szCs w:val="22"/>
          <w:rtl/>
        </w:rPr>
        <w:t>השופטת סיגל דוידוב – מוטולה</w:t>
      </w:r>
      <w:r w:rsidRPr="00810EB0">
        <w:rPr>
          <w:rFonts w:ascii="David" w:hAnsi="David" w:hint="cs"/>
          <w:color w:val="000000"/>
          <w:sz w:val="22"/>
          <w:szCs w:val="22"/>
          <w:rtl/>
        </w:rPr>
        <w:t xml:space="preserve">, </w:t>
      </w:r>
      <w:r w:rsidRPr="00810EB0">
        <w:rPr>
          <w:rFonts w:ascii="David" w:hAnsi="David"/>
          <w:color w:val="000000"/>
          <w:sz w:val="22"/>
          <w:szCs w:val="22"/>
          <w:rtl/>
        </w:rPr>
        <w:t xml:space="preserve">     </w:t>
      </w:r>
      <w:r w:rsidRPr="00810EB0">
        <w:rPr>
          <w:rFonts w:ascii="David" w:hAnsi="David" w:hint="cs"/>
          <w:color w:val="000000"/>
          <w:sz w:val="22"/>
          <w:szCs w:val="22"/>
          <w:rtl/>
        </w:rPr>
        <w:t xml:space="preserve">נ.ע. </w:t>
      </w:r>
      <w:r w:rsidRPr="00810EB0">
        <w:rPr>
          <w:rFonts w:ascii="David" w:hAnsi="David"/>
          <w:color w:val="000000"/>
          <w:sz w:val="22"/>
          <w:szCs w:val="22"/>
          <w:rtl/>
        </w:rPr>
        <w:t>מר ראובן בוימל</w:t>
      </w:r>
      <w:r w:rsidRPr="00810EB0">
        <w:rPr>
          <w:rFonts w:ascii="David" w:hAnsi="David" w:hint="cs"/>
          <w:color w:val="000000"/>
          <w:sz w:val="22"/>
          <w:szCs w:val="22"/>
          <w:rtl/>
        </w:rPr>
        <w:t xml:space="preserve">, </w:t>
      </w:r>
      <w:r w:rsidRPr="00810EB0">
        <w:rPr>
          <w:rFonts w:ascii="David" w:hAnsi="David"/>
          <w:color w:val="000000"/>
          <w:sz w:val="22"/>
          <w:szCs w:val="22"/>
          <w:rtl/>
        </w:rPr>
        <w:t>נ</w:t>
      </w:r>
      <w:r w:rsidRPr="00810EB0">
        <w:rPr>
          <w:rFonts w:ascii="David" w:hAnsi="David" w:hint="cs"/>
          <w:color w:val="000000"/>
          <w:sz w:val="22"/>
          <w:szCs w:val="22"/>
          <w:rtl/>
        </w:rPr>
        <w:t>.</w:t>
      </w:r>
      <w:r w:rsidRPr="00810EB0">
        <w:rPr>
          <w:rFonts w:ascii="David" w:hAnsi="David"/>
          <w:color w:val="000000"/>
          <w:sz w:val="22"/>
          <w:szCs w:val="22"/>
          <w:rtl/>
        </w:rPr>
        <w:t>מ</w:t>
      </w:r>
      <w:r w:rsidRPr="00810EB0">
        <w:rPr>
          <w:rFonts w:ascii="David" w:hAnsi="David" w:hint="cs"/>
          <w:color w:val="000000"/>
          <w:sz w:val="22"/>
          <w:szCs w:val="22"/>
          <w:rtl/>
        </w:rPr>
        <w:t xml:space="preserve">. </w:t>
      </w:r>
      <w:r w:rsidRPr="00810EB0">
        <w:rPr>
          <w:rFonts w:ascii="David" w:hAnsi="David"/>
          <w:color w:val="000000"/>
          <w:sz w:val="22"/>
          <w:szCs w:val="22"/>
          <w:rtl/>
        </w:rPr>
        <w:t>מר מיכה ינון</w:t>
      </w:r>
      <w:r w:rsidRPr="00810EB0">
        <w:rPr>
          <w:rFonts w:ascii="David" w:hAnsi="David" w:hint="cs"/>
          <w:color w:val="000000"/>
          <w:sz w:val="22"/>
          <w:szCs w:val="22"/>
          <w:rtl/>
        </w:rPr>
        <w:t>.</w:t>
      </w:r>
      <w:r w:rsidRPr="00810EB0">
        <w:rPr>
          <w:rFonts w:ascii="David" w:hAnsi="David"/>
          <w:color w:val="000000"/>
          <w:sz w:val="22"/>
          <w:szCs w:val="22"/>
          <w:rtl/>
        </w:rPr>
        <w:t xml:space="preserve"> </w:t>
      </w:r>
    </w:p>
    <w:p w:rsidR="000118BE" w:rsidRDefault="000118BE" w:rsidP="00507C71">
      <w:pPr>
        <w:bidi/>
        <w:spacing w:line="360" w:lineRule="auto"/>
        <w:ind w:left="48"/>
        <w:jc w:val="both"/>
        <w:rPr>
          <w:rFonts w:ascii="David" w:hAnsi="David"/>
          <w:color w:val="000000"/>
          <w:sz w:val="22"/>
          <w:szCs w:val="22"/>
          <w:rtl/>
        </w:rPr>
      </w:pPr>
      <w:r w:rsidRPr="00810EB0">
        <w:rPr>
          <w:rFonts w:ascii="David" w:hAnsi="David"/>
          <w:color w:val="000000"/>
          <w:sz w:val="22"/>
          <w:szCs w:val="22"/>
          <w:rtl/>
        </w:rPr>
        <w:tab/>
      </w:r>
    </w:p>
    <w:p w:rsidR="000118BE" w:rsidRPr="00BD3500" w:rsidRDefault="000118BE" w:rsidP="00A8553B">
      <w:pPr>
        <w:numPr>
          <w:ilvl w:val="0"/>
          <w:numId w:val="33"/>
        </w:numPr>
        <w:tabs>
          <w:tab w:val="left" w:pos="-110"/>
          <w:tab w:val="left" w:pos="9048"/>
          <w:tab w:val="left" w:pos="9228"/>
        </w:tabs>
        <w:bidi/>
        <w:spacing w:line="360" w:lineRule="auto"/>
        <w:ind w:right="-180"/>
        <w:jc w:val="both"/>
        <w:rPr>
          <w:rFonts w:ascii="Arial" w:hAnsi="Arial"/>
          <w:b/>
          <w:bCs/>
          <w:color w:val="0000FF"/>
          <w:sz w:val="24"/>
          <w:u w:val="single"/>
          <w:rtl/>
        </w:rPr>
      </w:pPr>
      <w:r w:rsidRPr="00BD3500">
        <w:rPr>
          <w:rFonts w:ascii="Arial" w:hAnsi="Arial" w:hint="cs"/>
          <w:b/>
          <w:bCs/>
          <w:color w:val="0000FF"/>
          <w:sz w:val="24"/>
          <w:u w:val="single"/>
          <w:rtl/>
        </w:rPr>
        <w:t>איזון אינטרסים והסדרת גילוי מסמכים ספציפיים המכילים מידע עסקי</w:t>
      </w:r>
    </w:p>
    <w:p w:rsidR="000118BE" w:rsidRPr="00810EB0" w:rsidRDefault="000118BE" w:rsidP="00A8553B">
      <w:pPr>
        <w:tabs>
          <w:tab w:val="left" w:pos="-110"/>
        </w:tabs>
        <w:bidi/>
        <w:spacing w:line="360" w:lineRule="auto"/>
        <w:ind w:left="72"/>
        <w:jc w:val="both"/>
        <w:rPr>
          <w:b/>
          <w:bCs/>
          <w:rtl/>
        </w:rPr>
      </w:pPr>
    </w:p>
    <w:p w:rsidR="000118BE" w:rsidRPr="0002383A" w:rsidRDefault="000118BE" w:rsidP="00A8553B">
      <w:pPr>
        <w:tabs>
          <w:tab w:val="left" w:pos="-110"/>
        </w:tabs>
        <w:bidi/>
        <w:spacing w:line="360" w:lineRule="auto"/>
        <w:ind w:left="72"/>
        <w:jc w:val="both"/>
        <w:rPr>
          <w:b/>
          <w:bCs/>
          <w:rtl/>
        </w:rPr>
      </w:pPr>
      <w:r w:rsidRPr="00D50BFA">
        <w:rPr>
          <w:rFonts w:hint="cs"/>
          <w:b/>
          <w:bCs/>
          <w:rtl/>
        </w:rPr>
        <w:t xml:space="preserve">בית הדין </w:t>
      </w:r>
      <w:r>
        <w:rPr>
          <w:rFonts w:hint="cs"/>
          <w:b/>
          <w:bCs/>
          <w:rtl/>
        </w:rPr>
        <w:t xml:space="preserve">האזורי לעבודה קיבל באופן חלקי בלבד </w:t>
      </w:r>
      <w:r w:rsidRPr="0002383A">
        <w:rPr>
          <w:b/>
          <w:bCs/>
          <w:rtl/>
        </w:rPr>
        <w:t xml:space="preserve">בקשה למתן סעדים זמניים </w:t>
      </w:r>
      <w:r w:rsidRPr="0002383A">
        <w:rPr>
          <w:rFonts w:hint="cs"/>
          <w:b/>
          <w:bCs/>
          <w:rtl/>
        </w:rPr>
        <w:t xml:space="preserve">מטעם חברת הפניקס </w:t>
      </w:r>
      <w:r w:rsidRPr="0002383A">
        <w:rPr>
          <w:b/>
          <w:bCs/>
          <w:rtl/>
        </w:rPr>
        <w:t xml:space="preserve">במסגרתה ביקשה </w:t>
      </w:r>
      <w:r w:rsidRPr="0002383A">
        <w:rPr>
          <w:rFonts w:hint="cs"/>
          <w:b/>
          <w:bCs/>
          <w:rtl/>
        </w:rPr>
        <w:t xml:space="preserve">החברה </w:t>
      </w:r>
      <w:r w:rsidRPr="0002383A">
        <w:rPr>
          <w:b/>
          <w:bCs/>
          <w:rtl/>
        </w:rPr>
        <w:t>להורות ל</w:t>
      </w:r>
      <w:r w:rsidRPr="0002383A">
        <w:rPr>
          <w:rFonts w:hint="cs"/>
          <w:b/>
          <w:bCs/>
          <w:rtl/>
        </w:rPr>
        <w:t>עובדת לשעבר</w:t>
      </w:r>
      <w:r w:rsidRPr="0002383A">
        <w:rPr>
          <w:b/>
          <w:bCs/>
          <w:rtl/>
        </w:rPr>
        <w:t xml:space="preserve"> להשיב ל</w:t>
      </w:r>
      <w:r w:rsidRPr="0002383A">
        <w:rPr>
          <w:rFonts w:hint="cs"/>
          <w:b/>
          <w:bCs/>
          <w:rtl/>
        </w:rPr>
        <w:t>חברה</w:t>
      </w:r>
      <w:r w:rsidRPr="0002383A">
        <w:rPr>
          <w:b/>
          <w:bCs/>
          <w:rtl/>
        </w:rPr>
        <w:t xml:space="preserve">, את המסמכים אותם </w:t>
      </w:r>
      <w:r w:rsidRPr="0002383A">
        <w:rPr>
          <w:rFonts w:hint="cs"/>
          <w:b/>
          <w:bCs/>
          <w:rtl/>
        </w:rPr>
        <w:t xml:space="preserve">לטענתה </w:t>
      </w:r>
      <w:r w:rsidRPr="0002383A">
        <w:rPr>
          <w:b/>
          <w:bCs/>
          <w:rtl/>
        </w:rPr>
        <w:t xml:space="preserve">נטלה </w:t>
      </w:r>
      <w:r w:rsidRPr="0002383A">
        <w:rPr>
          <w:rFonts w:hint="cs"/>
          <w:b/>
          <w:bCs/>
          <w:rtl/>
        </w:rPr>
        <w:t xml:space="preserve">העובדת </w:t>
      </w:r>
      <w:r w:rsidRPr="0002383A">
        <w:rPr>
          <w:b/>
          <w:bCs/>
          <w:rtl/>
        </w:rPr>
        <w:t>והעתיקה ממאגרי המידע של ה</w:t>
      </w:r>
      <w:r w:rsidRPr="0002383A">
        <w:rPr>
          <w:rFonts w:hint="cs"/>
          <w:b/>
          <w:bCs/>
          <w:rtl/>
        </w:rPr>
        <w:t>חברה</w:t>
      </w:r>
      <w:r w:rsidRPr="0002383A">
        <w:rPr>
          <w:b/>
          <w:bCs/>
          <w:rtl/>
        </w:rPr>
        <w:t>, ללא רשות ובניגוד להתחייבויותיה מכוח דין ומכוח התחייבויותיה החוזיות.</w:t>
      </w:r>
      <w:r w:rsidRPr="0002383A">
        <w:rPr>
          <w:rFonts w:hint="cs"/>
          <w:b/>
          <w:bCs/>
          <w:rtl/>
        </w:rPr>
        <w:t xml:space="preserve"> בית הדין קבע כי על אף שאין מדובר</w:t>
      </w:r>
      <w:r w:rsidRPr="0002383A">
        <w:rPr>
          <w:b/>
          <w:bCs/>
          <w:rtl/>
        </w:rPr>
        <w:t xml:space="preserve"> בהליך רגיל של גילוי ועיון במסמכים, שכן המסמכים מושאי המחלוקת נמצאים כבר בידי הצד השני</w:t>
      </w:r>
      <w:r w:rsidRPr="0002383A">
        <w:rPr>
          <w:rFonts w:hint="cs"/>
          <w:b/>
          <w:bCs/>
          <w:rtl/>
        </w:rPr>
        <w:t>, יש להחיל את אותם</w:t>
      </w:r>
      <w:r w:rsidRPr="0002383A">
        <w:rPr>
          <w:b/>
          <w:bCs/>
          <w:rtl/>
        </w:rPr>
        <w:t xml:space="preserve"> העקרונות העומדים בבסיס הליך של גילוי מסמכים</w:t>
      </w:r>
      <w:r>
        <w:rPr>
          <w:rFonts w:hint="cs"/>
          <w:b/>
          <w:bCs/>
          <w:rtl/>
        </w:rPr>
        <w:t>.</w:t>
      </w:r>
      <w:r w:rsidRPr="0002383A">
        <w:rPr>
          <w:rFonts w:hint="cs"/>
          <w:b/>
          <w:bCs/>
          <w:rtl/>
        </w:rPr>
        <w:t xml:space="preserve"> </w:t>
      </w:r>
      <w:r w:rsidRPr="0002383A">
        <w:rPr>
          <w:b/>
          <w:bCs/>
          <w:rtl/>
        </w:rPr>
        <w:t>השיקול המרכזי בסוגית מתן צו לגילוי ועיון מסמכים הוא שאלת רל</w:t>
      </w:r>
      <w:r>
        <w:rPr>
          <w:rFonts w:hint="cs"/>
          <w:b/>
          <w:bCs/>
          <w:rtl/>
        </w:rPr>
        <w:t>וו</w:t>
      </w:r>
      <w:r w:rsidRPr="0002383A">
        <w:rPr>
          <w:b/>
          <w:bCs/>
          <w:rtl/>
        </w:rPr>
        <w:t xml:space="preserve">נטיות המסמכים לדיון באופן שגילויים ייעל ויקדם את הדיון.  שאלה זו צריכה להתברר תוך איזון האינטרסים  של בעלי הדין. גם כאשר מדובר בראיה רלוונטית, חיוב לגלותה תוך פגיעה בסוד מסחרי </w:t>
      </w:r>
      <w:r>
        <w:rPr>
          <w:rFonts w:hint="cs"/>
          <w:b/>
          <w:bCs/>
          <w:rtl/>
        </w:rPr>
        <w:t xml:space="preserve">כמשמעותו בחוק עוולות מסחריות, </w:t>
      </w:r>
      <w:r w:rsidRPr="0002383A">
        <w:rPr>
          <w:b/>
          <w:bCs/>
          <w:rtl/>
        </w:rPr>
        <w:t>אינו ניתן כלאחר יד אלא רק לאחר איזון הבוחן האם "הענין שיש באי גילוי הראיה עדיף מן הצורך לגלות את הראיה לשם עשיית צדק"</w:t>
      </w:r>
      <w:r>
        <w:rPr>
          <w:rFonts w:hint="cs"/>
          <w:b/>
          <w:bCs/>
          <w:rtl/>
        </w:rPr>
        <w:t xml:space="preserve">. בנסיבות המקרה הספציפי נקבע לעניין קבוצת המסמכים שאינם מכילים סוד מסחרי, כי </w:t>
      </w:r>
      <w:r>
        <w:rPr>
          <w:rFonts w:hint="cs"/>
          <w:b/>
          <w:bCs/>
          <w:rtl/>
        </w:rPr>
        <w:lastRenderedPageBreak/>
        <w:t xml:space="preserve">יושחרו כל הפרטים המזהים של המבוטחים, לקוחות, עובדים וצדדים שלישיים אחרים. לעניין קבוצת המסמכים הסודיים אשר מכילים מידע עסקי ומהווים סודות מסחריים של החברה, נקבע כי על העובדת להשמיד כל מסמך פורמאלי של החברה שאינו מצביע על קשר עם העובדת, זאת חרף טענת העובדת כי היא זו שערכה את המסמכים. נקבע כי אין למסמכים אלו כדי לסייע לעובדת בהוכחת טענותיה בדבר תרומתה ויכולותיה, זאת בזמן שמסמכים אלו מכילים מידע עסקי חסוי. באשר ליתר המסמכים הסודיים, בית הדין קבע כי הם יופקדו במעטפה סגורה וחתומה בכספת בית הדין, לעיני בית הדין בלבד. עותק מהמסמכים ימסרו בנאמנות לב"כ העובדת לעיונה ולעיון העובדת בלבד בכפוף להתחייבותם לשמור על סודיות המסמכים וכי יעשו שימוש במסמכים אלו לצורך ההליך המשפטי בלבד. </w:t>
      </w:r>
    </w:p>
    <w:p w:rsidR="000118BE" w:rsidRDefault="000118BE" w:rsidP="00A8553B">
      <w:pPr>
        <w:tabs>
          <w:tab w:val="left" w:pos="-110"/>
        </w:tabs>
        <w:bidi/>
        <w:spacing w:line="360" w:lineRule="auto"/>
        <w:ind w:left="72"/>
        <w:jc w:val="both"/>
        <w:rPr>
          <w:rFonts w:ascii="David" w:hAnsi="David"/>
          <w:color w:val="000000"/>
          <w:sz w:val="22"/>
          <w:szCs w:val="22"/>
          <w:rtl/>
        </w:rPr>
      </w:pPr>
      <w:r>
        <w:rPr>
          <w:rFonts w:ascii="David" w:hAnsi="David"/>
          <w:color w:val="000000"/>
          <w:sz w:val="22"/>
          <w:szCs w:val="22"/>
          <w:rtl/>
        </w:rPr>
        <w:t>סעש (ת"א) 22736-11-12</w:t>
      </w:r>
      <w:r w:rsidRPr="004A40C4">
        <w:rPr>
          <w:rFonts w:hint="cs"/>
          <w:color w:val="FF0000"/>
          <w:sz w:val="22"/>
          <w:szCs w:val="22"/>
          <w:rtl/>
        </w:rPr>
        <w:t xml:space="preserve"> </w:t>
      </w:r>
      <w:r w:rsidRPr="004A40C4">
        <w:rPr>
          <w:color w:val="FF0000"/>
          <w:sz w:val="22"/>
          <w:szCs w:val="22"/>
        </w:rPr>
        <w:t>●</w:t>
      </w:r>
      <w:r w:rsidRPr="004A40C4">
        <w:rPr>
          <w:rFonts w:ascii="David" w:hAnsi="David" w:hint="cs"/>
          <w:color w:val="000000"/>
          <w:sz w:val="22"/>
          <w:szCs w:val="22"/>
          <w:rtl/>
        </w:rPr>
        <w:t xml:space="preserve"> </w:t>
      </w:r>
      <w:r w:rsidRPr="004540FC">
        <w:rPr>
          <w:rFonts w:ascii="David" w:hAnsi="David"/>
          <w:b/>
          <w:bCs/>
          <w:color w:val="FF0000"/>
          <w:sz w:val="22"/>
          <w:szCs w:val="22"/>
          <w:rtl/>
        </w:rPr>
        <w:t>הפניקס חברה לביטוח בע"מ נ' ד"ר שרון איילון</w:t>
      </w:r>
      <w:r w:rsidRPr="004540FC">
        <w:rPr>
          <w:rFonts w:ascii="David" w:hAnsi="David" w:hint="cs"/>
          <w:color w:val="FF0000"/>
          <w:sz w:val="22"/>
          <w:szCs w:val="22"/>
          <w:rtl/>
        </w:rPr>
        <w:t xml:space="preserve"> </w:t>
      </w:r>
      <w:r w:rsidRPr="004A40C4">
        <w:rPr>
          <w:rFonts w:ascii="David" w:hAnsi="David" w:hint="cs"/>
          <w:color w:val="000000"/>
          <w:sz w:val="22"/>
          <w:szCs w:val="22"/>
          <w:rtl/>
        </w:rPr>
        <w:t>(</w:t>
      </w:r>
      <w:r>
        <w:rPr>
          <w:rFonts w:ascii="David" w:hAnsi="David" w:hint="cs"/>
          <w:color w:val="000000"/>
          <w:sz w:val="22"/>
          <w:szCs w:val="22"/>
          <w:rtl/>
        </w:rPr>
        <w:t>7.7.13</w:t>
      </w:r>
      <w:r w:rsidRPr="004A40C4">
        <w:rPr>
          <w:rFonts w:ascii="David" w:hAnsi="David" w:hint="cs"/>
          <w:color w:val="000000"/>
          <w:sz w:val="22"/>
          <w:szCs w:val="22"/>
          <w:rtl/>
        </w:rPr>
        <w:t>)</w:t>
      </w:r>
      <w:r w:rsidRPr="004A40C4">
        <w:rPr>
          <w:rFonts w:hint="cs"/>
          <w:color w:val="FF0000"/>
          <w:sz w:val="22"/>
          <w:szCs w:val="22"/>
          <w:rtl/>
        </w:rPr>
        <w:t xml:space="preserve"> </w:t>
      </w:r>
      <w:r w:rsidRPr="004A40C4">
        <w:rPr>
          <w:color w:val="FF0000"/>
          <w:sz w:val="22"/>
          <w:szCs w:val="22"/>
        </w:rPr>
        <w:t xml:space="preserve"> ●</w:t>
      </w:r>
      <w:r w:rsidRPr="004A40C4">
        <w:rPr>
          <w:rFonts w:ascii="David" w:hAnsi="David" w:hint="cs"/>
          <w:color w:val="000000"/>
          <w:sz w:val="22"/>
          <w:szCs w:val="22"/>
          <w:rtl/>
        </w:rPr>
        <w:t xml:space="preserve">בפני כבוד </w:t>
      </w:r>
      <w:r>
        <w:rPr>
          <w:rFonts w:ascii="David" w:hAnsi="David" w:hint="cs"/>
          <w:color w:val="000000"/>
          <w:sz w:val="22"/>
          <w:szCs w:val="22"/>
          <w:rtl/>
        </w:rPr>
        <w:t xml:space="preserve">סגן הנשיאה </w:t>
      </w:r>
      <w:r w:rsidRPr="004A40C4">
        <w:rPr>
          <w:rFonts w:ascii="David" w:hAnsi="David" w:hint="cs"/>
          <w:color w:val="000000"/>
          <w:sz w:val="22"/>
          <w:szCs w:val="22"/>
          <w:rtl/>
        </w:rPr>
        <w:t xml:space="preserve">השופט </w:t>
      </w:r>
      <w:r>
        <w:rPr>
          <w:rFonts w:ascii="David" w:hAnsi="David" w:hint="cs"/>
          <w:color w:val="000000"/>
          <w:sz w:val="22"/>
          <w:szCs w:val="22"/>
          <w:rtl/>
        </w:rPr>
        <w:t>שמואל טננבוים</w:t>
      </w:r>
    </w:p>
    <w:p w:rsidR="0095504E" w:rsidRPr="00BD3500" w:rsidRDefault="0095504E" w:rsidP="0095504E">
      <w:pPr>
        <w:tabs>
          <w:tab w:val="left" w:pos="-110"/>
        </w:tabs>
        <w:bidi/>
        <w:spacing w:line="360" w:lineRule="auto"/>
        <w:ind w:left="72"/>
        <w:jc w:val="both"/>
        <w:rPr>
          <w:rFonts w:ascii="David" w:hAnsi="David"/>
          <w:color w:val="0000FF"/>
          <w:sz w:val="22"/>
          <w:szCs w:val="22"/>
          <w:rtl/>
        </w:rPr>
      </w:pPr>
    </w:p>
    <w:p w:rsidR="000118BE" w:rsidRPr="00BD3500" w:rsidRDefault="000118BE" w:rsidP="00A8553B">
      <w:pPr>
        <w:numPr>
          <w:ilvl w:val="0"/>
          <w:numId w:val="33"/>
        </w:numPr>
        <w:tabs>
          <w:tab w:val="left" w:pos="-110"/>
          <w:tab w:val="left" w:pos="9048"/>
          <w:tab w:val="left" w:pos="9228"/>
        </w:tabs>
        <w:bidi/>
        <w:spacing w:line="360" w:lineRule="auto"/>
        <w:ind w:right="-180"/>
        <w:jc w:val="both"/>
        <w:rPr>
          <w:rFonts w:ascii="Arial" w:hAnsi="Arial"/>
          <w:b/>
          <w:bCs/>
          <w:color w:val="0000FF"/>
          <w:sz w:val="24"/>
          <w:u w:val="single"/>
          <w:rtl/>
        </w:rPr>
      </w:pPr>
      <w:r w:rsidRPr="00BD3500">
        <w:rPr>
          <w:rFonts w:ascii="Arial" w:hAnsi="Arial" w:hint="cs"/>
          <w:b/>
          <w:bCs/>
          <w:color w:val="0000FF"/>
          <w:sz w:val="24"/>
          <w:u w:val="single"/>
          <w:rtl/>
        </w:rPr>
        <w:t>נתוני מדיניות האכיפה על העסקת עובד זר של המדינה הם חלק מחומר החקירה החייב בגילוי לנאשמים</w:t>
      </w:r>
    </w:p>
    <w:p w:rsidR="000118BE" w:rsidRPr="00810EB0" w:rsidRDefault="000118BE" w:rsidP="00A8553B">
      <w:pPr>
        <w:tabs>
          <w:tab w:val="left" w:pos="-110"/>
        </w:tabs>
        <w:bidi/>
        <w:spacing w:line="360" w:lineRule="auto"/>
        <w:ind w:left="72"/>
        <w:jc w:val="both"/>
        <w:rPr>
          <w:b/>
          <w:bCs/>
          <w:rtl/>
        </w:rPr>
      </w:pPr>
    </w:p>
    <w:p w:rsidR="000118BE" w:rsidRDefault="000118BE" w:rsidP="00A8553B">
      <w:pPr>
        <w:tabs>
          <w:tab w:val="left" w:pos="-110"/>
        </w:tabs>
        <w:bidi/>
        <w:spacing w:line="360" w:lineRule="auto"/>
        <w:ind w:left="72"/>
        <w:jc w:val="both"/>
        <w:rPr>
          <w:b/>
          <w:bCs/>
          <w:rtl/>
        </w:rPr>
      </w:pPr>
      <w:r w:rsidRPr="00A742C8">
        <w:rPr>
          <w:rFonts w:hint="cs"/>
          <w:b/>
          <w:bCs/>
          <w:rtl/>
        </w:rPr>
        <w:t xml:space="preserve">בית-הדין הארצי לעבודה דחה עררים שהוגשו על ידי המדינה כנגד החלטות בית הדין האזורי אשר בהן נקבע כי המדינה תגלה חומרי חקירה לפי סעיף 74 לחוק סדר הדין הפלילי ובכלל זה את כתבי האישום שהוגשו על ידי המדינה נגד נאשמים אחרים ביחס לעבירות זהות לנאשמות בתיק זה, בדבר העסקת עובדת זרה בעבודות משק בית בלא היתר. בית הדין קבע כי </w:t>
      </w:r>
      <w:r w:rsidRPr="00A742C8">
        <w:rPr>
          <w:b/>
          <w:bCs/>
          <w:rtl/>
        </w:rPr>
        <w:t xml:space="preserve">חומר חקירה הבא בגדר סעיף 74 לחוק, כולל גם כתבי אישום שהוגשו כנגד נאשמים אחרים בעבירות זהות, נתונים סטטיסטיים בדבר אכיפה וכן נהלים בקשר להגשת כתבי אישום. </w:t>
      </w:r>
      <w:r w:rsidRPr="00A742C8">
        <w:rPr>
          <w:rFonts w:hint="cs"/>
          <w:b/>
          <w:bCs/>
          <w:rtl/>
        </w:rPr>
        <w:t xml:space="preserve"> נקבע כי </w:t>
      </w:r>
      <w:r w:rsidRPr="00A742C8">
        <w:rPr>
          <w:b/>
          <w:bCs/>
          <w:rtl/>
        </w:rPr>
        <w:t xml:space="preserve">מסקנה זו הינה פועל יוצא של העובדות הראשוניות שנאספו ממקורות שונים והונחו בפני בית הדין האזורי. </w:t>
      </w:r>
      <w:r w:rsidRPr="00A742C8">
        <w:rPr>
          <w:rFonts w:hint="cs"/>
          <w:b/>
          <w:bCs/>
          <w:rtl/>
        </w:rPr>
        <w:t xml:space="preserve">כן נקבע כי </w:t>
      </w:r>
      <w:r w:rsidRPr="00A742C8">
        <w:rPr>
          <w:b/>
          <w:bCs/>
          <w:rtl/>
        </w:rPr>
        <w:t>על יסוד עובדות אלו, התברר כי המידע המבוקש חיוני להגנת הנאשמות, מסירתו אינה מכבידה במידה ניכרת על הרשות ואין בו כדי לפגוע בצדדים שלישיים.</w:t>
      </w:r>
      <w:r w:rsidRPr="00A742C8">
        <w:rPr>
          <w:rFonts w:hint="cs"/>
          <w:b/>
          <w:bCs/>
          <w:rtl/>
        </w:rPr>
        <w:t xml:space="preserve"> כמו כן נקבע כי </w:t>
      </w:r>
      <w:r w:rsidRPr="00A742C8">
        <w:rPr>
          <w:b/>
          <w:bCs/>
          <w:rtl/>
        </w:rPr>
        <w:t xml:space="preserve">מדיניות האכיפה היא חלק מחומר החקירה הרלבנטי להגנת הנאשם </w:t>
      </w:r>
      <w:r w:rsidRPr="00A742C8">
        <w:rPr>
          <w:rFonts w:hint="cs"/>
          <w:b/>
          <w:bCs/>
          <w:rtl/>
        </w:rPr>
        <w:t xml:space="preserve">בטענות כגון הגנה מן הצדק ואכיפה בררנית, </w:t>
      </w:r>
      <w:r w:rsidRPr="00A742C8">
        <w:rPr>
          <w:b/>
          <w:bCs/>
          <w:rtl/>
        </w:rPr>
        <w:t xml:space="preserve">באשר היא משמשת המסד שעליו החליטה התביעה להגיש את כתב האישום. </w:t>
      </w:r>
      <w:r w:rsidRPr="00A742C8">
        <w:rPr>
          <w:rFonts w:hint="cs"/>
          <w:b/>
          <w:bCs/>
          <w:rtl/>
        </w:rPr>
        <w:t xml:space="preserve">נקבע כי </w:t>
      </w:r>
      <w:r w:rsidRPr="00A742C8">
        <w:rPr>
          <w:b/>
          <w:bCs/>
          <w:rtl/>
        </w:rPr>
        <w:t>מדיניות האכיפה היא מעין מגדלור שלאורו פועלת התביעה, והנאשם זכאי לבחון זאת כאשר ההנחיות מבוארות לפניו והוא יכול לראות שעניינו נכלל בתוך המקרים שאותה המדיניות מכסה.</w:t>
      </w:r>
      <w:r w:rsidRPr="00A742C8">
        <w:rPr>
          <w:rFonts w:hint="cs"/>
          <w:b/>
          <w:bCs/>
          <w:rtl/>
        </w:rPr>
        <w:t xml:space="preserve"> בית הדין קבע כי קביעה זו רלוונטית גם בנסיבות בהן המדינה כמאשימה </w:t>
      </w:r>
      <w:r w:rsidRPr="00A742C8">
        <w:rPr>
          <w:b/>
          <w:bCs/>
          <w:rtl/>
        </w:rPr>
        <w:t>אינה מגלה את הנהלים להגשת כתב אישום, שאז נכון להורות לה, למסור את כל המידע הרלבנטי ליישום מדיניות האכיפה.</w:t>
      </w:r>
      <w:r w:rsidRPr="00A742C8">
        <w:rPr>
          <w:rFonts w:hint="cs"/>
          <w:b/>
          <w:bCs/>
          <w:rtl/>
        </w:rPr>
        <w:t xml:space="preserve"> לפיכך נקבע כי</w:t>
      </w:r>
      <w:r w:rsidRPr="00A742C8">
        <w:rPr>
          <w:b/>
          <w:bCs/>
          <w:rtl/>
        </w:rPr>
        <w:t xml:space="preserve"> </w:t>
      </w:r>
      <w:r w:rsidRPr="00A742C8">
        <w:rPr>
          <w:rFonts w:hint="cs"/>
          <w:b/>
          <w:bCs/>
          <w:rtl/>
        </w:rPr>
        <w:t xml:space="preserve">על </w:t>
      </w:r>
      <w:r w:rsidRPr="00A742C8">
        <w:rPr>
          <w:b/>
          <w:bCs/>
          <w:rtl/>
        </w:rPr>
        <w:t>המאשימה לגלות לנאשמות את כתבי האישום שהוגשו ומופיעים ברשימה שמסרה המאשימה</w:t>
      </w:r>
      <w:r w:rsidRPr="00A742C8">
        <w:rPr>
          <w:rFonts w:hint="cs"/>
          <w:b/>
          <w:bCs/>
          <w:rtl/>
        </w:rPr>
        <w:t>,</w:t>
      </w:r>
      <w:r w:rsidRPr="00A742C8">
        <w:rPr>
          <w:b/>
          <w:bCs/>
          <w:rtl/>
        </w:rPr>
        <w:t xml:space="preserve"> המאשימה רשאית להגישם תוך מחיקת שמות הנאשמים</w:t>
      </w:r>
      <w:r w:rsidRPr="001E7F4A">
        <w:rPr>
          <w:b/>
          <w:bCs/>
          <w:color w:val="000000"/>
          <w:rtl/>
        </w:rPr>
        <w:t>.</w:t>
      </w:r>
    </w:p>
    <w:p w:rsidR="000118BE" w:rsidRPr="00810EB0" w:rsidRDefault="000118BE" w:rsidP="00A8553B">
      <w:pPr>
        <w:tabs>
          <w:tab w:val="left" w:pos="-110"/>
        </w:tabs>
        <w:bidi/>
        <w:spacing w:line="360" w:lineRule="auto"/>
        <w:ind w:left="72"/>
        <w:jc w:val="both"/>
        <w:rPr>
          <w:rFonts w:ascii="David" w:hAnsi="David"/>
          <w:color w:val="000000"/>
          <w:sz w:val="22"/>
          <w:szCs w:val="22"/>
        </w:rPr>
      </w:pPr>
      <w:r w:rsidRPr="007D1A23">
        <w:rPr>
          <w:rFonts w:ascii="David" w:hAnsi="David"/>
          <w:color w:val="000000"/>
          <w:sz w:val="22"/>
          <w:szCs w:val="22"/>
          <w:rtl/>
        </w:rPr>
        <w:t>עפא 29798-10-11</w:t>
      </w:r>
      <w:r w:rsidRPr="007D1A23">
        <w:rPr>
          <w:color w:val="FF0000"/>
          <w:sz w:val="22"/>
          <w:szCs w:val="22"/>
        </w:rPr>
        <w:t xml:space="preserve">● </w:t>
      </w:r>
      <w:r w:rsidRPr="007D1A23">
        <w:rPr>
          <w:rFonts w:hint="cs"/>
          <w:color w:val="2B003A"/>
          <w:sz w:val="22"/>
          <w:szCs w:val="22"/>
          <w:rtl/>
        </w:rPr>
        <w:t xml:space="preserve"> </w:t>
      </w:r>
      <w:r w:rsidRPr="004540FC">
        <w:rPr>
          <w:rFonts w:ascii="David" w:hAnsi="David"/>
          <w:b/>
          <w:bCs/>
          <w:color w:val="FF0000"/>
          <w:sz w:val="22"/>
          <w:szCs w:val="22"/>
          <w:rtl/>
        </w:rPr>
        <w:t xml:space="preserve">מדינת ישראל נ' </w:t>
      </w:r>
      <w:r w:rsidRPr="004540FC">
        <w:rPr>
          <w:rFonts w:ascii="David" w:hAnsi="David" w:hint="cs"/>
          <w:b/>
          <w:bCs/>
          <w:color w:val="FF0000"/>
          <w:sz w:val="22"/>
          <w:szCs w:val="22"/>
          <w:rtl/>
        </w:rPr>
        <w:t xml:space="preserve">גב' </w:t>
      </w:r>
      <w:r w:rsidRPr="004540FC">
        <w:rPr>
          <w:rFonts w:ascii="David" w:hAnsi="David"/>
          <w:b/>
          <w:bCs/>
          <w:color w:val="FF0000"/>
          <w:sz w:val="22"/>
          <w:szCs w:val="22"/>
          <w:rtl/>
        </w:rPr>
        <w:t>מרים יהודית עמית</w:t>
      </w:r>
      <w:r w:rsidRPr="004540FC">
        <w:rPr>
          <w:rFonts w:ascii="David" w:hAnsi="David" w:hint="cs"/>
          <w:b/>
          <w:bCs/>
          <w:color w:val="FF0000"/>
          <w:sz w:val="22"/>
          <w:szCs w:val="22"/>
          <w:rtl/>
        </w:rPr>
        <w:t xml:space="preserve"> ונגד גב' נילי ברק פריאל</w:t>
      </w:r>
      <w:r w:rsidRPr="004540FC">
        <w:rPr>
          <w:rFonts w:ascii="David" w:hAnsi="David" w:hint="cs"/>
          <w:color w:val="FF0000"/>
          <w:sz w:val="22"/>
          <w:szCs w:val="22"/>
          <w:rtl/>
        </w:rPr>
        <w:t xml:space="preserve"> </w:t>
      </w:r>
      <w:r w:rsidRPr="0048743E">
        <w:rPr>
          <w:rFonts w:ascii="David" w:hAnsi="David" w:hint="cs"/>
          <w:color w:val="000000"/>
          <w:sz w:val="22"/>
          <w:szCs w:val="22"/>
          <w:rtl/>
        </w:rPr>
        <w:t>(22.4.13</w:t>
      </w:r>
      <w:r w:rsidRPr="007D1A23">
        <w:rPr>
          <w:rFonts w:hint="cs"/>
          <w:color w:val="2B003A"/>
          <w:sz w:val="22"/>
          <w:szCs w:val="22"/>
          <w:rtl/>
        </w:rPr>
        <w:t xml:space="preserve">) </w:t>
      </w:r>
      <w:r w:rsidRPr="007D1A23">
        <w:rPr>
          <w:color w:val="FF0000"/>
          <w:sz w:val="22"/>
          <w:szCs w:val="22"/>
        </w:rPr>
        <w:t>●</w:t>
      </w:r>
      <w:r w:rsidRPr="007D1A23">
        <w:rPr>
          <w:rFonts w:hint="cs"/>
          <w:color w:val="2B003A"/>
          <w:sz w:val="22"/>
          <w:szCs w:val="22"/>
          <w:rtl/>
        </w:rPr>
        <w:t xml:space="preserve"> </w:t>
      </w:r>
      <w:r w:rsidRPr="0048743E">
        <w:rPr>
          <w:rFonts w:ascii="David" w:hAnsi="David" w:hint="cs"/>
          <w:color w:val="000000"/>
          <w:sz w:val="22"/>
          <w:szCs w:val="22"/>
          <w:rtl/>
        </w:rPr>
        <w:t>בפני כבוד השופט אילן    סופר</w:t>
      </w:r>
    </w:p>
    <w:p w:rsidR="004229B0" w:rsidRDefault="004229B0" w:rsidP="004229B0">
      <w:pPr>
        <w:tabs>
          <w:tab w:val="left" w:pos="90"/>
        </w:tabs>
        <w:bidi/>
        <w:spacing w:line="360" w:lineRule="auto"/>
        <w:ind w:left="-90"/>
        <w:jc w:val="both"/>
        <w:rPr>
          <w:sz w:val="22"/>
          <w:szCs w:val="22"/>
          <w:rtl/>
          <w:lang w:eastAsia="he-IL"/>
        </w:rPr>
      </w:pPr>
    </w:p>
    <w:p w:rsidR="004540FC" w:rsidRDefault="004540FC" w:rsidP="004540FC">
      <w:pPr>
        <w:tabs>
          <w:tab w:val="left" w:pos="90"/>
        </w:tabs>
        <w:bidi/>
        <w:spacing w:line="360" w:lineRule="auto"/>
        <w:ind w:left="-90"/>
        <w:jc w:val="both"/>
        <w:rPr>
          <w:sz w:val="22"/>
          <w:szCs w:val="22"/>
          <w:rtl/>
          <w:lang w:eastAsia="he-IL"/>
        </w:rPr>
      </w:pPr>
    </w:p>
    <w:p w:rsidR="000118BE" w:rsidRDefault="000118BE" w:rsidP="00A8553B">
      <w:pPr>
        <w:numPr>
          <w:ilvl w:val="0"/>
          <w:numId w:val="7"/>
        </w:numPr>
        <w:bidi/>
        <w:spacing w:line="360" w:lineRule="auto"/>
        <w:jc w:val="both"/>
        <w:outlineLvl w:val="0"/>
        <w:rPr>
          <w:rFonts w:ascii="David" w:hAnsi="David"/>
          <w:b/>
          <w:bCs/>
          <w:color w:val="FF0000"/>
          <w:sz w:val="32"/>
          <w:szCs w:val="26"/>
          <w:u w:val="single"/>
        </w:rPr>
      </w:pPr>
      <w:bookmarkStart w:id="146" w:name="_Toc228152703"/>
      <w:bookmarkStart w:id="147" w:name="_Toc383530636"/>
      <w:bookmarkStart w:id="148" w:name="_Toc383587181"/>
      <w:bookmarkStart w:id="149" w:name="_Toc383587386"/>
      <w:bookmarkStart w:id="150" w:name="_Toc383587828"/>
      <w:r>
        <w:rPr>
          <w:rFonts w:ascii="David" w:hAnsi="David" w:hint="cs"/>
          <w:b/>
          <w:bCs/>
          <w:color w:val="FF0000"/>
          <w:sz w:val="32"/>
          <w:szCs w:val="26"/>
          <w:u w:val="single"/>
          <w:rtl/>
        </w:rPr>
        <w:lastRenderedPageBreak/>
        <w:t>תובענות ייצוגיות</w:t>
      </w:r>
      <w:bookmarkEnd w:id="146"/>
      <w:bookmarkEnd w:id="147"/>
      <w:bookmarkEnd w:id="148"/>
      <w:bookmarkEnd w:id="149"/>
      <w:bookmarkEnd w:id="150"/>
    </w:p>
    <w:p w:rsidR="000118BE" w:rsidRDefault="000118BE" w:rsidP="008F590E">
      <w:pPr>
        <w:tabs>
          <w:tab w:val="left" w:pos="-316"/>
        </w:tabs>
        <w:bidi/>
        <w:ind w:left="-316" w:right="-180"/>
        <w:jc w:val="both"/>
        <w:rPr>
          <w:rFonts w:ascii="Arial" w:hAnsi="Arial"/>
          <w:b/>
          <w:bCs/>
          <w:color w:val="008000"/>
          <w:sz w:val="28"/>
          <w:szCs w:val="28"/>
          <w:u w:val="single"/>
          <w:rtl/>
        </w:rPr>
      </w:pPr>
    </w:p>
    <w:p w:rsidR="000118BE" w:rsidRPr="00BD3500" w:rsidRDefault="000118BE" w:rsidP="00A8553B">
      <w:pPr>
        <w:numPr>
          <w:ilvl w:val="0"/>
          <w:numId w:val="24"/>
        </w:numPr>
        <w:tabs>
          <w:tab w:val="left" w:pos="70"/>
        </w:tabs>
        <w:bidi/>
        <w:spacing w:line="360" w:lineRule="auto"/>
        <w:jc w:val="both"/>
        <w:rPr>
          <w:rFonts w:ascii="Arial" w:hAnsi="Arial"/>
          <w:b/>
          <w:bCs/>
          <w:color w:val="0000FF"/>
          <w:sz w:val="24"/>
          <w:u w:val="single"/>
        </w:rPr>
      </w:pPr>
      <w:r w:rsidRPr="00BD3500">
        <w:rPr>
          <w:rFonts w:ascii="Arial" w:hAnsi="Arial" w:hint="cs"/>
          <w:b/>
          <w:bCs/>
          <w:color w:val="0000FF"/>
          <w:sz w:val="24"/>
          <w:u w:val="single"/>
          <w:rtl/>
        </w:rPr>
        <w:t>לא תאושר תובענה ייצוגית, אם ההסתדרות פועלת במסגרת קיבוצית לאכיפת זכויות העובדים</w:t>
      </w:r>
    </w:p>
    <w:p w:rsidR="000118BE" w:rsidRPr="006501A5" w:rsidRDefault="000118BE" w:rsidP="008F590E">
      <w:pPr>
        <w:tabs>
          <w:tab w:val="left" w:pos="70"/>
        </w:tabs>
        <w:bidi/>
        <w:jc w:val="both"/>
        <w:rPr>
          <w:rFonts w:ascii="Arial" w:hAnsi="Arial"/>
          <w:b/>
          <w:bCs/>
          <w:color w:val="008000"/>
          <w:sz w:val="24"/>
          <w:u w:val="single"/>
          <w:rtl/>
        </w:rPr>
      </w:pPr>
    </w:p>
    <w:p w:rsidR="000118BE" w:rsidRPr="006501A5" w:rsidRDefault="000118BE" w:rsidP="00A8553B">
      <w:pPr>
        <w:tabs>
          <w:tab w:val="left" w:pos="-308"/>
          <w:tab w:val="left" w:pos="0"/>
          <w:tab w:val="num" w:pos="44"/>
        </w:tabs>
        <w:bidi/>
        <w:spacing w:line="360" w:lineRule="auto"/>
        <w:ind w:left="44"/>
        <w:jc w:val="both"/>
        <w:rPr>
          <w:rFonts w:ascii="Arial" w:eastAsia="Calibri" w:hAnsi="Arial"/>
          <w:b/>
          <w:bCs/>
          <w:sz w:val="24"/>
          <w:rtl/>
        </w:rPr>
      </w:pPr>
      <w:r w:rsidRPr="006501A5">
        <w:rPr>
          <w:rFonts w:ascii="Arial" w:eastAsia="Calibri" w:hAnsi="Arial"/>
          <w:b/>
          <w:bCs/>
          <w:sz w:val="24"/>
          <w:rtl/>
        </w:rPr>
        <w:t xml:space="preserve">הוגשה בקשה לאישור תובענה ייצוגית </w:t>
      </w:r>
      <w:r w:rsidRPr="006501A5">
        <w:rPr>
          <w:rFonts w:ascii="Arial" w:eastAsia="Calibri" w:hAnsi="Arial" w:hint="cs"/>
          <w:b/>
          <w:bCs/>
          <w:sz w:val="24"/>
          <w:rtl/>
        </w:rPr>
        <w:t>בגין</w:t>
      </w:r>
      <w:r w:rsidRPr="006501A5">
        <w:rPr>
          <w:rFonts w:ascii="Arial" w:eastAsia="Calibri" w:hAnsi="Arial"/>
          <w:b/>
          <w:bCs/>
          <w:sz w:val="24"/>
          <w:rtl/>
        </w:rPr>
        <w:t xml:space="preserve"> אי הפקדה לקרן פנסיה ואי תשלום תוספת ותק</w:t>
      </w:r>
      <w:r w:rsidRPr="006501A5">
        <w:rPr>
          <w:rFonts w:ascii="Arial" w:eastAsia="Calibri" w:hAnsi="Arial" w:hint="cs"/>
          <w:b/>
          <w:bCs/>
          <w:sz w:val="24"/>
          <w:rtl/>
        </w:rPr>
        <w:t xml:space="preserve"> לעובדים בענף השמירה והאבטחה</w:t>
      </w:r>
      <w:r w:rsidRPr="006501A5">
        <w:rPr>
          <w:rFonts w:ascii="Arial" w:eastAsia="Calibri" w:hAnsi="Arial"/>
          <w:b/>
          <w:bCs/>
          <w:sz w:val="24"/>
          <w:rtl/>
        </w:rPr>
        <w:t>.</w:t>
      </w:r>
    </w:p>
    <w:p w:rsidR="000118BE" w:rsidRPr="006501A5" w:rsidRDefault="000118BE" w:rsidP="00A8553B">
      <w:pPr>
        <w:tabs>
          <w:tab w:val="left" w:pos="-308"/>
          <w:tab w:val="left" w:pos="0"/>
          <w:tab w:val="num" w:pos="44"/>
        </w:tabs>
        <w:bidi/>
        <w:spacing w:line="360" w:lineRule="auto"/>
        <w:ind w:left="44"/>
        <w:jc w:val="both"/>
        <w:rPr>
          <w:rFonts w:ascii="Arial" w:eastAsia="Calibri" w:hAnsi="Arial"/>
          <w:b/>
          <w:bCs/>
          <w:sz w:val="24"/>
          <w:rtl/>
        </w:rPr>
      </w:pPr>
      <w:r w:rsidRPr="006501A5">
        <w:rPr>
          <w:rFonts w:ascii="Arial" w:eastAsia="Calibri" w:hAnsi="Arial"/>
          <w:b/>
          <w:bCs/>
          <w:sz w:val="24"/>
          <w:rtl/>
        </w:rPr>
        <w:t>בית הדין האזורי פסק כי</w:t>
      </w:r>
      <w:r w:rsidRPr="006501A5">
        <w:rPr>
          <w:rFonts w:ascii="Arial" w:eastAsia="Calibri" w:hAnsi="Arial" w:hint="cs"/>
          <w:b/>
          <w:bCs/>
          <w:sz w:val="24"/>
          <w:rtl/>
        </w:rPr>
        <w:t>, אף על פי ש</w:t>
      </w:r>
      <w:r w:rsidRPr="006501A5">
        <w:rPr>
          <w:rFonts w:ascii="Arial" w:eastAsia="Calibri" w:hAnsi="Arial"/>
          <w:b/>
          <w:bCs/>
          <w:sz w:val="24"/>
          <w:rtl/>
        </w:rPr>
        <w:t>בירור עילת התביעה ביחס לחברי הקבוצה כתובענה ייצוגית,  היא הדרך היעילה וההוגנת להכרעה במחלוקת וקיים יסוד סביר להניח כי עניינם של כלל חברי הקבוצה ייוצג וינוהל בתום לב</w:t>
      </w:r>
      <w:r w:rsidRPr="006501A5">
        <w:rPr>
          <w:rFonts w:ascii="Arial" w:eastAsia="Calibri" w:hAnsi="Arial" w:hint="cs"/>
          <w:b/>
          <w:bCs/>
          <w:sz w:val="24"/>
          <w:rtl/>
        </w:rPr>
        <w:t xml:space="preserve">, אין מקום לאשר את התובענה כתובענה ייצוגית מאחר ועל פי </w:t>
      </w:r>
      <w:r w:rsidRPr="006501A5">
        <w:rPr>
          <w:rFonts w:ascii="Arial" w:eastAsia="Calibri" w:hAnsi="Arial"/>
          <w:b/>
          <w:bCs/>
          <w:sz w:val="24"/>
          <w:rtl/>
        </w:rPr>
        <w:t>פריט 10(3) לתוספת השנייה</w:t>
      </w:r>
      <w:r w:rsidRPr="006501A5">
        <w:rPr>
          <w:rFonts w:ascii="Arial" w:eastAsia="Calibri" w:hAnsi="Arial" w:hint="cs"/>
          <w:b/>
          <w:bCs/>
          <w:sz w:val="24"/>
          <w:rtl/>
        </w:rPr>
        <w:t xml:space="preserve"> של חוק תובענות ייצוגיות</w:t>
      </w:r>
      <w:r w:rsidRPr="006501A5">
        <w:rPr>
          <w:rFonts w:ascii="Arial" w:eastAsia="Calibri" w:hAnsi="Arial"/>
          <w:b/>
          <w:bCs/>
          <w:sz w:val="24"/>
          <w:rtl/>
        </w:rPr>
        <w:t>, לא תאושר תובענה ייצוגית של עובד מקום בו חל הסכם קיבוצי המסדיר את תנאי עבודתו</w:t>
      </w:r>
      <w:r w:rsidRPr="006501A5">
        <w:rPr>
          <w:rFonts w:ascii="Arial" w:eastAsia="Calibri" w:hAnsi="Arial" w:hint="cs"/>
          <w:b/>
          <w:bCs/>
          <w:sz w:val="24"/>
          <w:rtl/>
        </w:rPr>
        <w:t xml:space="preserve">, </w:t>
      </w:r>
      <w:r w:rsidRPr="006501A5">
        <w:rPr>
          <w:rFonts w:ascii="Arial" w:eastAsia="Calibri" w:hAnsi="Arial"/>
          <w:b/>
          <w:bCs/>
          <w:sz w:val="24"/>
          <w:rtl/>
        </w:rPr>
        <w:t>המעביד של אותו עובד או ארגון מעבידים שהוא חבר בו, צד להסכם הקיבוצי</w:t>
      </w:r>
      <w:r w:rsidRPr="006501A5">
        <w:rPr>
          <w:rFonts w:ascii="Arial" w:eastAsia="Calibri" w:hAnsi="Arial" w:hint="cs"/>
          <w:b/>
          <w:bCs/>
          <w:sz w:val="24"/>
          <w:rtl/>
        </w:rPr>
        <w:t xml:space="preserve"> וארגון העובדים היציג פועל לאכיפת זכויות העובדים.</w:t>
      </w:r>
    </w:p>
    <w:p w:rsidR="000118BE" w:rsidRPr="006501A5" w:rsidRDefault="000118BE" w:rsidP="00A8553B">
      <w:pPr>
        <w:tabs>
          <w:tab w:val="left" w:pos="-316"/>
          <w:tab w:val="left" w:pos="0"/>
          <w:tab w:val="num" w:pos="44"/>
        </w:tabs>
        <w:bidi/>
        <w:spacing w:line="360" w:lineRule="auto"/>
        <w:ind w:left="44"/>
        <w:jc w:val="both"/>
        <w:rPr>
          <w:rFonts w:ascii="Arial" w:eastAsia="Calibri" w:hAnsi="Arial"/>
          <w:b/>
          <w:bCs/>
          <w:sz w:val="24"/>
          <w:rtl/>
        </w:rPr>
      </w:pPr>
      <w:r w:rsidRPr="006501A5">
        <w:rPr>
          <w:rFonts w:ascii="Arial" w:eastAsia="Calibri" w:hAnsi="Arial"/>
          <w:b/>
          <w:bCs/>
          <w:sz w:val="24"/>
          <w:rtl/>
        </w:rPr>
        <w:t xml:space="preserve">בענייננו, </w:t>
      </w:r>
      <w:r w:rsidRPr="006501A5">
        <w:rPr>
          <w:rFonts w:ascii="Arial" w:eastAsia="Calibri" w:hAnsi="Arial" w:hint="cs"/>
          <w:b/>
          <w:bCs/>
          <w:sz w:val="24"/>
          <w:rtl/>
        </w:rPr>
        <w:t xml:space="preserve">על הצדדים חל </w:t>
      </w:r>
      <w:r w:rsidRPr="006501A5">
        <w:rPr>
          <w:rFonts w:ascii="Arial" w:eastAsia="Calibri" w:hAnsi="Arial"/>
          <w:b/>
          <w:bCs/>
          <w:sz w:val="24"/>
          <w:rtl/>
        </w:rPr>
        <w:t>הסכם אכיפת הזכויות</w:t>
      </w:r>
      <w:r w:rsidRPr="006501A5">
        <w:rPr>
          <w:rFonts w:ascii="Arial" w:eastAsia="Calibri" w:hAnsi="Arial" w:hint="cs"/>
          <w:b/>
          <w:bCs/>
          <w:sz w:val="24"/>
          <w:rtl/>
        </w:rPr>
        <w:t xml:space="preserve"> אשר לפיו, קיים מנגנון אכיפה </w:t>
      </w:r>
      <w:r w:rsidRPr="006501A5">
        <w:rPr>
          <w:rFonts w:ascii="Arial" w:eastAsia="Calibri" w:hAnsi="Arial"/>
          <w:b/>
          <w:bCs/>
          <w:sz w:val="24"/>
          <w:rtl/>
        </w:rPr>
        <w:t>המובל על ידי ההסתדרות</w:t>
      </w:r>
      <w:r w:rsidRPr="006501A5">
        <w:rPr>
          <w:rFonts w:ascii="Arial" w:eastAsia="Calibri" w:hAnsi="Arial" w:hint="cs"/>
          <w:b/>
          <w:bCs/>
          <w:sz w:val="24"/>
          <w:rtl/>
        </w:rPr>
        <w:t xml:space="preserve"> </w:t>
      </w:r>
      <w:r w:rsidRPr="006501A5">
        <w:rPr>
          <w:rFonts w:ascii="Arial" w:eastAsia="Calibri" w:hAnsi="Arial"/>
          <w:b/>
          <w:bCs/>
          <w:sz w:val="24"/>
          <w:rtl/>
        </w:rPr>
        <w:t>ובמסגרתו הסכמה של המעסיקה לבצע בדיקה יסודית והתחייבות לתשלום מלוא זכויות עובדיה על פי החוק</w:t>
      </w:r>
      <w:r w:rsidRPr="006501A5">
        <w:rPr>
          <w:rFonts w:ascii="Arial" w:eastAsia="Calibri" w:hAnsi="Arial" w:hint="cs"/>
          <w:b/>
          <w:bCs/>
          <w:sz w:val="24"/>
          <w:rtl/>
        </w:rPr>
        <w:t>. אישור התובענה כתובענה ייצוגית עלול להכשיל את המאמץ המשותף של ארגון העובדים ושל ארגון המעבידים להבטחת זכויותיהם של העובדים.</w:t>
      </w:r>
      <w:r w:rsidRPr="006501A5">
        <w:rPr>
          <w:rFonts w:ascii="Arial" w:eastAsia="Calibri" w:hAnsi="Arial"/>
          <w:b/>
          <w:bCs/>
          <w:sz w:val="24"/>
          <w:rtl/>
        </w:rPr>
        <w:t xml:space="preserve"> </w:t>
      </w:r>
    </w:p>
    <w:p w:rsidR="000118BE" w:rsidRDefault="000118BE" w:rsidP="00A8553B">
      <w:pPr>
        <w:tabs>
          <w:tab w:val="left" w:pos="-316"/>
          <w:tab w:val="num" w:pos="44"/>
          <w:tab w:val="left" w:pos="90"/>
        </w:tabs>
        <w:bidi/>
        <w:spacing w:line="360" w:lineRule="auto"/>
        <w:ind w:left="44"/>
        <w:jc w:val="both"/>
        <w:rPr>
          <w:rFonts w:ascii="David" w:eastAsia="Calibri" w:hAnsi="David"/>
          <w:color w:val="000000"/>
          <w:sz w:val="22"/>
          <w:szCs w:val="22"/>
          <w:rtl/>
        </w:rPr>
      </w:pPr>
      <w:r w:rsidRPr="00E243EE">
        <w:rPr>
          <w:rFonts w:ascii="David" w:eastAsia="Calibri" w:hAnsi="David" w:hint="cs"/>
          <w:color w:val="000000"/>
          <w:sz w:val="22"/>
          <w:szCs w:val="22"/>
          <w:rtl/>
        </w:rPr>
        <w:t xml:space="preserve">תעא (ת"א) 5906-08 </w:t>
      </w:r>
      <w:r w:rsidRPr="0013768B">
        <w:rPr>
          <w:rFonts w:ascii="Arial" w:eastAsia="Calibri" w:hAnsi="Arial" w:cs="Arial"/>
          <w:color w:val="FF0000"/>
          <w:sz w:val="22"/>
          <w:szCs w:val="22"/>
        </w:rPr>
        <w:t>●</w:t>
      </w:r>
      <w:r w:rsidRPr="00E243EE">
        <w:rPr>
          <w:rFonts w:ascii="David" w:eastAsia="Calibri" w:hAnsi="David" w:hint="cs"/>
          <w:color w:val="000000"/>
          <w:sz w:val="22"/>
          <w:szCs w:val="22"/>
          <w:rtl/>
        </w:rPr>
        <w:t xml:space="preserve"> </w:t>
      </w:r>
      <w:r w:rsidRPr="00E243EE">
        <w:rPr>
          <w:rFonts w:ascii="David" w:eastAsia="Calibri" w:hAnsi="David" w:hint="cs"/>
          <w:b/>
          <w:bCs/>
          <w:color w:val="000000"/>
          <w:sz w:val="22"/>
          <w:szCs w:val="22"/>
          <w:rtl/>
        </w:rPr>
        <w:t>סטניסלב (סלבה) שולמן נ' נוף ים ביטחון בע"מ</w:t>
      </w:r>
      <w:r w:rsidRPr="00E243EE">
        <w:rPr>
          <w:rFonts w:ascii="David" w:eastAsia="Calibri" w:hAnsi="David" w:hint="cs"/>
          <w:color w:val="000000"/>
          <w:sz w:val="22"/>
          <w:szCs w:val="22"/>
          <w:rtl/>
        </w:rPr>
        <w:t xml:space="preserve"> (11.9.13) </w:t>
      </w:r>
      <w:r w:rsidRPr="00E243EE">
        <w:rPr>
          <w:rFonts w:ascii="David" w:eastAsia="Calibri" w:hAnsi="David"/>
          <w:color w:val="000000"/>
          <w:sz w:val="22"/>
          <w:szCs w:val="22"/>
        </w:rPr>
        <w:t xml:space="preserve"> </w:t>
      </w:r>
      <w:r w:rsidRPr="0013768B">
        <w:rPr>
          <w:rFonts w:ascii="Arial" w:eastAsia="Calibri" w:hAnsi="Arial" w:cs="Arial"/>
          <w:color w:val="FF0000"/>
          <w:sz w:val="22"/>
          <w:szCs w:val="22"/>
        </w:rPr>
        <w:t>●</w:t>
      </w:r>
      <w:r w:rsidRPr="00E243EE">
        <w:rPr>
          <w:rFonts w:ascii="David" w:eastAsia="Calibri" w:hAnsi="David" w:hint="cs"/>
          <w:color w:val="000000"/>
          <w:sz w:val="22"/>
          <w:szCs w:val="22"/>
          <w:rtl/>
        </w:rPr>
        <w:t>בפני כבוד השופטת מיכל לויט, נ.ע. מר גמליאל, נ.מ. מר מתתיהו</w:t>
      </w:r>
    </w:p>
    <w:p w:rsidR="008F590E" w:rsidRDefault="008F590E" w:rsidP="008F590E">
      <w:pPr>
        <w:tabs>
          <w:tab w:val="left" w:pos="-316"/>
          <w:tab w:val="num" w:pos="44"/>
          <w:tab w:val="left" w:pos="90"/>
        </w:tabs>
        <w:bidi/>
        <w:spacing w:line="360" w:lineRule="auto"/>
        <w:ind w:left="44"/>
        <w:jc w:val="both"/>
        <w:rPr>
          <w:rFonts w:ascii="David" w:eastAsia="Calibri" w:hAnsi="David"/>
          <w:color w:val="000000"/>
          <w:sz w:val="22"/>
          <w:szCs w:val="22"/>
          <w:rtl/>
        </w:rPr>
      </w:pPr>
    </w:p>
    <w:p w:rsidR="000118BE" w:rsidRPr="00BD3500" w:rsidRDefault="000118BE" w:rsidP="00A8553B">
      <w:pPr>
        <w:numPr>
          <w:ilvl w:val="0"/>
          <w:numId w:val="24"/>
        </w:numPr>
        <w:tabs>
          <w:tab w:val="left" w:pos="70"/>
        </w:tabs>
        <w:bidi/>
        <w:spacing w:line="360" w:lineRule="auto"/>
        <w:jc w:val="both"/>
        <w:rPr>
          <w:rFonts w:ascii="Arial" w:hAnsi="Arial"/>
          <w:b/>
          <w:bCs/>
          <w:color w:val="0000FF"/>
          <w:sz w:val="24"/>
          <w:u w:val="single"/>
        </w:rPr>
      </w:pPr>
      <w:r w:rsidRPr="00BD3500">
        <w:rPr>
          <w:rFonts w:ascii="Arial" w:hAnsi="Arial" w:hint="cs"/>
          <w:b/>
          <w:bCs/>
          <w:color w:val="0000FF"/>
          <w:sz w:val="24"/>
          <w:u w:val="single"/>
          <w:rtl/>
        </w:rPr>
        <w:t>לא תאושר תובענה ייצוגית נגד רשות ציבורית שהודיעה כי תחדל מפעולה אסורה ותקיים את הודעתה</w:t>
      </w:r>
    </w:p>
    <w:p w:rsidR="000118BE" w:rsidRPr="006501A5" w:rsidRDefault="000118BE" w:rsidP="00A8553B">
      <w:pPr>
        <w:tabs>
          <w:tab w:val="left" w:pos="70"/>
        </w:tabs>
        <w:bidi/>
        <w:spacing w:line="360" w:lineRule="auto"/>
        <w:jc w:val="both"/>
        <w:rPr>
          <w:rFonts w:ascii="Arial" w:hAnsi="Arial"/>
          <w:b/>
          <w:bCs/>
          <w:color w:val="008000"/>
          <w:sz w:val="24"/>
          <w:u w:val="single"/>
          <w:rtl/>
        </w:rPr>
      </w:pPr>
    </w:p>
    <w:p w:rsidR="000118BE" w:rsidRPr="00875F32" w:rsidRDefault="000118BE" w:rsidP="004540FC">
      <w:pPr>
        <w:tabs>
          <w:tab w:val="left" w:pos="-316"/>
          <w:tab w:val="left" w:pos="0"/>
          <w:tab w:val="num" w:pos="44"/>
        </w:tabs>
        <w:bidi/>
        <w:spacing w:line="360" w:lineRule="auto"/>
        <w:ind w:left="44"/>
        <w:jc w:val="both"/>
        <w:rPr>
          <w:rFonts w:ascii="Arial" w:eastAsia="Calibri" w:hAnsi="Arial"/>
          <w:b/>
          <w:bCs/>
          <w:sz w:val="24"/>
          <w:rtl/>
        </w:rPr>
      </w:pPr>
      <w:r w:rsidRPr="00875F32">
        <w:rPr>
          <w:rFonts w:ascii="Arial" w:eastAsia="Calibri" w:hAnsi="Arial" w:hint="cs"/>
          <w:b/>
          <w:bCs/>
          <w:sz w:val="24"/>
          <w:rtl/>
        </w:rPr>
        <w:t>הוגשה בקשה לאישור תובענה ייצוגית נגד עיריית באר שבע, להשבת כספי ארנונה שגבתה שלא כדין בסכום הגבוה מ-2,500,000 ₪. לטענת התובע, העירייה רשאית לגבות ארנונה בגין מטר מרובה שלם בלבד ועל כן עליה לחדול לעגל כלפי מעלה את שטחי הנכסים עד למ"ר הקרוב, ולהשיב את כספי הארנונה שגבתה בעודף בשנתיים שקדמו להגשת הבקשה.</w:t>
      </w:r>
    </w:p>
    <w:p w:rsidR="000118BE" w:rsidRPr="00875F32" w:rsidRDefault="000118BE" w:rsidP="00A8553B">
      <w:pPr>
        <w:tabs>
          <w:tab w:val="left" w:pos="-316"/>
          <w:tab w:val="left" w:pos="0"/>
          <w:tab w:val="num" w:pos="44"/>
        </w:tabs>
        <w:bidi/>
        <w:spacing w:line="360" w:lineRule="auto"/>
        <w:ind w:left="44"/>
        <w:jc w:val="both"/>
        <w:rPr>
          <w:rFonts w:ascii="Arial" w:eastAsia="Calibri" w:hAnsi="Arial"/>
          <w:b/>
          <w:bCs/>
          <w:sz w:val="24"/>
          <w:rtl/>
        </w:rPr>
      </w:pPr>
      <w:r w:rsidRPr="00875F32">
        <w:rPr>
          <w:rFonts w:ascii="Arial" w:eastAsia="Calibri" w:hAnsi="Arial" w:hint="cs"/>
          <w:b/>
          <w:bCs/>
          <w:sz w:val="24"/>
          <w:rtl/>
        </w:rPr>
        <w:t xml:space="preserve">על פי חוק תובענות ייצוגיות, תשס"ו- 2006, לא תאושר תביעה ייצוגית נגד רשות ציבורית שגובה כספים שלא כחוק, אם הודיעה כי תחדל מהגביה האסורה, אולם, על בית המשפט להיווכח כי היא אכן חדלה מהגבייה בפועל. </w:t>
      </w:r>
    </w:p>
    <w:p w:rsidR="000118BE" w:rsidRPr="00875F32" w:rsidRDefault="000118BE" w:rsidP="00A8553B">
      <w:pPr>
        <w:tabs>
          <w:tab w:val="left" w:pos="-316"/>
          <w:tab w:val="left" w:pos="0"/>
          <w:tab w:val="num" w:pos="44"/>
        </w:tabs>
        <w:bidi/>
        <w:spacing w:line="360" w:lineRule="auto"/>
        <w:ind w:left="44"/>
        <w:jc w:val="both"/>
        <w:rPr>
          <w:rFonts w:ascii="Arial" w:eastAsia="Calibri" w:hAnsi="Arial"/>
          <w:b/>
          <w:bCs/>
          <w:sz w:val="24"/>
          <w:rtl/>
        </w:rPr>
      </w:pPr>
      <w:r w:rsidRPr="00875F32">
        <w:rPr>
          <w:rFonts w:ascii="Arial" w:eastAsia="Calibri" w:hAnsi="Arial" w:hint="cs"/>
          <w:b/>
          <w:bCs/>
          <w:sz w:val="24"/>
          <w:rtl/>
        </w:rPr>
        <w:t>בענייננו, בית המשפט פסק כי העירייה לא הוכיחה שנקטה בצעדים על מנת לחדול מהגבייה האסורה. לפיכך, העירייה בעתירתה ביקשה שיראו בתשובתה לבקשה כהודעת חדילה.</w:t>
      </w:r>
    </w:p>
    <w:p w:rsidR="000118BE" w:rsidRPr="00875F32" w:rsidRDefault="000118BE" w:rsidP="00A8553B">
      <w:pPr>
        <w:tabs>
          <w:tab w:val="left" w:pos="-316"/>
          <w:tab w:val="left" w:pos="0"/>
          <w:tab w:val="num" w:pos="44"/>
        </w:tabs>
        <w:bidi/>
        <w:spacing w:line="360" w:lineRule="auto"/>
        <w:ind w:left="44"/>
        <w:jc w:val="both"/>
        <w:rPr>
          <w:rFonts w:ascii="Arial" w:eastAsia="Calibri" w:hAnsi="Arial"/>
          <w:b/>
          <w:bCs/>
          <w:sz w:val="24"/>
          <w:rtl/>
        </w:rPr>
      </w:pPr>
      <w:r w:rsidRPr="00875F32">
        <w:rPr>
          <w:rFonts w:ascii="Arial" w:eastAsia="Calibri" w:hAnsi="Arial" w:hint="cs"/>
          <w:b/>
          <w:bCs/>
          <w:sz w:val="24"/>
          <w:rtl/>
        </w:rPr>
        <w:t>נפסק כי על מנת ליתן תוקף להודעת החדילה, על העירייה לתקן את הודעות הגביה לכלל הנכסים בעיר עד ליום 1.1.2014. כמו כן, עליה להשיב את הגביה, באופן רטרואקטיבי החל מיום 1.1.2013.</w:t>
      </w:r>
    </w:p>
    <w:p w:rsidR="000118BE" w:rsidRPr="00875F32" w:rsidRDefault="000118BE" w:rsidP="00A8553B">
      <w:pPr>
        <w:tabs>
          <w:tab w:val="left" w:pos="-316"/>
          <w:tab w:val="left" w:pos="0"/>
          <w:tab w:val="num" w:pos="44"/>
        </w:tabs>
        <w:bidi/>
        <w:spacing w:line="360" w:lineRule="auto"/>
        <w:ind w:left="44"/>
        <w:jc w:val="both"/>
        <w:rPr>
          <w:rFonts w:ascii="Arial" w:eastAsia="Calibri" w:hAnsi="Arial"/>
          <w:b/>
          <w:bCs/>
          <w:sz w:val="24"/>
          <w:rtl/>
        </w:rPr>
      </w:pPr>
      <w:r w:rsidRPr="00875F32">
        <w:rPr>
          <w:rFonts w:ascii="Arial" w:eastAsia="Calibri" w:hAnsi="Arial" w:hint="cs"/>
          <w:b/>
          <w:bCs/>
          <w:sz w:val="24"/>
          <w:rtl/>
        </w:rPr>
        <w:t>בית המשפט דחה את הבקשה לאישור התובענה כייצוגית לאור הודעת החדילה של העירייה.</w:t>
      </w:r>
    </w:p>
    <w:p w:rsidR="000118BE" w:rsidRDefault="000118BE" w:rsidP="00A8553B">
      <w:pPr>
        <w:tabs>
          <w:tab w:val="left" w:pos="-316"/>
          <w:tab w:val="num" w:pos="44"/>
          <w:tab w:val="left" w:pos="90"/>
        </w:tabs>
        <w:bidi/>
        <w:spacing w:line="360" w:lineRule="auto"/>
        <w:ind w:left="44"/>
        <w:jc w:val="both"/>
        <w:rPr>
          <w:sz w:val="22"/>
          <w:szCs w:val="22"/>
          <w:rtl/>
        </w:rPr>
      </w:pPr>
      <w:r w:rsidRPr="00875F32">
        <w:rPr>
          <w:rFonts w:ascii="David" w:eastAsia="Calibri" w:hAnsi="David" w:hint="cs"/>
          <w:color w:val="000000"/>
          <w:sz w:val="22"/>
          <w:szCs w:val="22"/>
          <w:rtl/>
        </w:rPr>
        <w:t>תצ</w:t>
      </w:r>
      <w:r w:rsidRPr="00875F32">
        <w:rPr>
          <w:rFonts w:hint="cs"/>
          <w:sz w:val="22"/>
          <w:szCs w:val="22"/>
          <w:rtl/>
        </w:rPr>
        <w:t xml:space="preserve"> (ב"ש)</w:t>
      </w:r>
      <w:r w:rsidRPr="00875F32">
        <w:rPr>
          <w:sz w:val="22"/>
          <w:szCs w:val="22"/>
          <w:rtl/>
        </w:rPr>
        <w:t xml:space="preserve"> </w:t>
      </w:r>
      <w:r w:rsidRPr="00875F32">
        <w:rPr>
          <w:rFonts w:hint="cs"/>
          <w:sz w:val="22"/>
          <w:szCs w:val="22"/>
          <w:rtl/>
        </w:rPr>
        <w:t xml:space="preserve">39463-04-13 </w:t>
      </w:r>
      <w:r w:rsidRPr="00875F32">
        <w:rPr>
          <w:color w:val="FF0000"/>
          <w:sz w:val="22"/>
          <w:szCs w:val="22"/>
        </w:rPr>
        <w:t>●</w:t>
      </w:r>
      <w:r w:rsidRPr="00875F32">
        <w:rPr>
          <w:rFonts w:hint="cs"/>
          <w:b/>
          <w:bCs/>
          <w:sz w:val="22"/>
          <w:szCs w:val="22"/>
          <w:rtl/>
        </w:rPr>
        <w:t xml:space="preserve"> אריאל צלח נ' עיריית באר שבע</w:t>
      </w:r>
      <w:r w:rsidRPr="00875F32">
        <w:rPr>
          <w:rFonts w:hint="cs"/>
          <w:sz w:val="22"/>
          <w:szCs w:val="22"/>
          <w:rtl/>
        </w:rPr>
        <w:t xml:space="preserve"> (17.9.13) </w:t>
      </w:r>
      <w:r w:rsidRPr="00875F32">
        <w:rPr>
          <w:sz w:val="22"/>
          <w:szCs w:val="22"/>
        </w:rPr>
        <w:t xml:space="preserve"> </w:t>
      </w:r>
      <w:r w:rsidRPr="00875F32">
        <w:rPr>
          <w:color w:val="FF0000"/>
          <w:sz w:val="22"/>
          <w:szCs w:val="22"/>
        </w:rPr>
        <w:t>●</w:t>
      </w:r>
      <w:r w:rsidRPr="00875F32">
        <w:rPr>
          <w:rFonts w:hint="cs"/>
          <w:sz w:val="22"/>
          <w:szCs w:val="22"/>
          <w:rtl/>
        </w:rPr>
        <w:t>בפני כבוד ס.נשיא, השופטת שרה דברת</w:t>
      </w:r>
    </w:p>
    <w:p w:rsidR="000118BE" w:rsidRPr="00BD3500" w:rsidRDefault="000118BE" w:rsidP="00A8553B">
      <w:pPr>
        <w:numPr>
          <w:ilvl w:val="0"/>
          <w:numId w:val="24"/>
        </w:numPr>
        <w:tabs>
          <w:tab w:val="left" w:pos="70"/>
        </w:tabs>
        <w:bidi/>
        <w:spacing w:line="360" w:lineRule="auto"/>
        <w:jc w:val="both"/>
        <w:rPr>
          <w:rFonts w:ascii="Arial" w:hAnsi="Arial"/>
          <w:b/>
          <w:bCs/>
          <w:color w:val="0000FF"/>
          <w:sz w:val="24"/>
          <w:u w:val="single"/>
        </w:rPr>
      </w:pPr>
      <w:r w:rsidRPr="00BD3500">
        <w:rPr>
          <w:rFonts w:ascii="Arial" w:hAnsi="Arial" w:hint="cs"/>
          <w:b/>
          <w:bCs/>
          <w:color w:val="0000FF"/>
          <w:sz w:val="24"/>
          <w:u w:val="single"/>
          <w:rtl/>
        </w:rPr>
        <w:lastRenderedPageBreak/>
        <w:t>נדחתה בקשה לאישור תובענה ייצוגית להכרה ביחסי עבודה בין ניצבים לבין סוכנות הניצבים</w:t>
      </w:r>
    </w:p>
    <w:p w:rsidR="000118BE" w:rsidRPr="006501A5" w:rsidRDefault="000118BE" w:rsidP="00A8553B">
      <w:pPr>
        <w:tabs>
          <w:tab w:val="left" w:pos="70"/>
        </w:tabs>
        <w:bidi/>
        <w:spacing w:line="360" w:lineRule="auto"/>
        <w:jc w:val="both"/>
        <w:rPr>
          <w:rFonts w:ascii="Arial" w:hAnsi="Arial"/>
          <w:b/>
          <w:bCs/>
          <w:color w:val="008000"/>
          <w:sz w:val="24"/>
          <w:u w:val="single"/>
          <w:rtl/>
        </w:rPr>
      </w:pPr>
    </w:p>
    <w:p w:rsidR="000118BE" w:rsidRDefault="000118BE" w:rsidP="00A8553B">
      <w:pPr>
        <w:tabs>
          <w:tab w:val="left" w:pos="-316"/>
          <w:tab w:val="left" w:pos="0"/>
          <w:tab w:val="num" w:pos="44"/>
        </w:tabs>
        <w:bidi/>
        <w:spacing w:line="360" w:lineRule="auto"/>
        <w:ind w:left="44"/>
        <w:jc w:val="both"/>
        <w:rPr>
          <w:b/>
          <w:bCs/>
          <w:rtl/>
        </w:rPr>
      </w:pPr>
      <w:r w:rsidRPr="00331021">
        <w:rPr>
          <w:rFonts w:hint="cs"/>
          <w:b/>
          <w:bCs/>
          <w:rtl/>
        </w:rPr>
        <w:t xml:space="preserve">בית הדין האזורי לעבודה דחה בקשה לאישור תובענה ייצוגית בעניין קיומם של יחסי עובד מעביד בין ניצבים </w:t>
      </w:r>
      <w:r>
        <w:rPr>
          <w:rFonts w:hint="cs"/>
          <w:b/>
          <w:bCs/>
          <w:rtl/>
        </w:rPr>
        <w:t xml:space="preserve">בחברות הפקה </w:t>
      </w:r>
      <w:r w:rsidRPr="00331021">
        <w:rPr>
          <w:rFonts w:hint="cs"/>
          <w:b/>
          <w:bCs/>
          <w:rtl/>
        </w:rPr>
        <w:t xml:space="preserve">לסוכנות ניצבים.  </w:t>
      </w:r>
      <w:r>
        <w:rPr>
          <w:rFonts w:hint="cs"/>
          <w:b/>
          <w:bCs/>
          <w:rtl/>
        </w:rPr>
        <w:t xml:space="preserve">בית-הדין קבע כי </w:t>
      </w:r>
      <w:r w:rsidRPr="00331021">
        <w:rPr>
          <w:rFonts w:hint="cs"/>
          <w:b/>
          <w:bCs/>
          <w:rtl/>
        </w:rPr>
        <w:t>תובענה ייצוגית אינה דרך הבירור הי</w:t>
      </w:r>
      <w:r w:rsidRPr="00331021">
        <w:rPr>
          <w:rFonts w:hint="eastAsia"/>
          <w:b/>
          <w:bCs/>
          <w:rtl/>
        </w:rPr>
        <w:t>עילה</w:t>
      </w:r>
      <w:r w:rsidRPr="00331021">
        <w:rPr>
          <w:b/>
          <w:bCs/>
          <w:rtl/>
        </w:rPr>
        <w:t xml:space="preserve"> </w:t>
      </w:r>
      <w:r w:rsidRPr="00331021">
        <w:rPr>
          <w:rFonts w:hint="eastAsia"/>
          <w:b/>
          <w:bCs/>
          <w:rtl/>
        </w:rPr>
        <w:t>וההוגנת</w:t>
      </w:r>
      <w:r w:rsidRPr="00331021">
        <w:rPr>
          <w:b/>
          <w:bCs/>
          <w:rtl/>
        </w:rPr>
        <w:t xml:space="preserve"> </w:t>
      </w:r>
      <w:r w:rsidRPr="00331021">
        <w:rPr>
          <w:rFonts w:hint="eastAsia"/>
          <w:b/>
          <w:bCs/>
          <w:rtl/>
        </w:rPr>
        <w:t>להכרעה</w:t>
      </w:r>
      <w:r w:rsidRPr="00331021">
        <w:rPr>
          <w:b/>
          <w:bCs/>
          <w:rtl/>
        </w:rPr>
        <w:t xml:space="preserve"> </w:t>
      </w:r>
      <w:r w:rsidRPr="00331021">
        <w:rPr>
          <w:rFonts w:hint="eastAsia"/>
          <w:b/>
          <w:bCs/>
          <w:rtl/>
        </w:rPr>
        <w:t>ב</w:t>
      </w:r>
      <w:r w:rsidRPr="00331021">
        <w:rPr>
          <w:rFonts w:hint="cs"/>
          <w:b/>
          <w:bCs/>
          <w:rtl/>
        </w:rPr>
        <w:t>נסיבות המקרה מהטעמים הבאים:</w:t>
      </w:r>
    </w:p>
    <w:p w:rsidR="000118BE" w:rsidRDefault="000118BE" w:rsidP="00A8553B">
      <w:pPr>
        <w:numPr>
          <w:ilvl w:val="0"/>
          <w:numId w:val="40"/>
        </w:numPr>
        <w:tabs>
          <w:tab w:val="clear" w:pos="540"/>
          <w:tab w:val="left" w:pos="-316"/>
          <w:tab w:val="left" w:pos="0"/>
          <w:tab w:val="num" w:pos="363"/>
        </w:tabs>
        <w:bidi/>
        <w:spacing w:line="360" w:lineRule="auto"/>
        <w:ind w:left="363" w:hanging="283"/>
        <w:jc w:val="both"/>
        <w:rPr>
          <w:b/>
          <w:bCs/>
        </w:rPr>
      </w:pPr>
      <w:r w:rsidRPr="00331021">
        <w:rPr>
          <w:rFonts w:hint="cs"/>
          <w:b/>
          <w:bCs/>
          <w:rtl/>
        </w:rPr>
        <w:t xml:space="preserve">על אף שהוכח במידת סבירות ראויה כי קיים סיכוי טוב לתביעה האישית של התובע הייצוגי </w:t>
      </w:r>
      <w:r>
        <w:rPr>
          <w:rFonts w:hint="cs"/>
          <w:b/>
          <w:bCs/>
          <w:rtl/>
        </w:rPr>
        <w:t xml:space="preserve">בדבר </w:t>
      </w:r>
      <w:r w:rsidRPr="00331021">
        <w:rPr>
          <w:rFonts w:hint="cs"/>
          <w:b/>
          <w:bCs/>
          <w:rtl/>
        </w:rPr>
        <w:t xml:space="preserve">קיומם של יחסי עובד ומעביד בינו לבין סוכנות הניצבים, אין כל </w:t>
      </w:r>
      <w:r w:rsidRPr="00331021">
        <w:rPr>
          <w:rFonts w:hint="eastAsia"/>
          <w:b/>
          <w:bCs/>
          <w:rtl/>
        </w:rPr>
        <w:t>סיבה</w:t>
      </w:r>
      <w:r w:rsidRPr="00331021">
        <w:rPr>
          <w:b/>
          <w:bCs/>
          <w:rtl/>
        </w:rPr>
        <w:t xml:space="preserve"> </w:t>
      </w:r>
      <w:r w:rsidRPr="00331021">
        <w:rPr>
          <w:rFonts w:hint="eastAsia"/>
          <w:b/>
          <w:bCs/>
          <w:rtl/>
        </w:rPr>
        <w:t>להניח</w:t>
      </w:r>
      <w:r w:rsidRPr="00331021">
        <w:rPr>
          <w:b/>
          <w:bCs/>
          <w:rtl/>
        </w:rPr>
        <w:t xml:space="preserve"> </w:t>
      </w:r>
      <w:r w:rsidRPr="00331021">
        <w:rPr>
          <w:rFonts w:hint="cs"/>
          <w:b/>
          <w:bCs/>
          <w:rtl/>
        </w:rPr>
        <w:t>שקיים סיכוי טוב לתביעה של</w:t>
      </w:r>
      <w:r w:rsidRPr="00331021">
        <w:rPr>
          <w:b/>
          <w:bCs/>
          <w:rtl/>
        </w:rPr>
        <w:t xml:space="preserve"> </w:t>
      </w:r>
      <w:r w:rsidRPr="00331021">
        <w:rPr>
          <w:rFonts w:hint="eastAsia"/>
          <w:b/>
          <w:bCs/>
          <w:rtl/>
        </w:rPr>
        <w:t>כלל</w:t>
      </w:r>
      <w:r w:rsidRPr="00331021">
        <w:rPr>
          <w:b/>
          <w:bCs/>
          <w:rtl/>
        </w:rPr>
        <w:t xml:space="preserve"> </w:t>
      </w:r>
      <w:r w:rsidRPr="00331021">
        <w:rPr>
          <w:rFonts w:hint="eastAsia"/>
          <w:b/>
          <w:bCs/>
          <w:rtl/>
        </w:rPr>
        <w:t>חברי</w:t>
      </w:r>
      <w:r w:rsidRPr="00331021">
        <w:rPr>
          <w:b/>
          <w:bCs/>
          <w:rtl/>
        </w:rPr>
        <w:t xml:space="preserve"> </w:t>
      </w:r>
      <w:r w:rsidRPr="00331021">
        <w:rPr>
          <w:rFonts w:hint="eastAsia"/>
          <w:b/>
          <w:bCs/>
          <w:rtl/>
        </w:rPr>
        <w:t>הקבוצה</w:t>
      </w:r>
      <w:r w:rsidRPr="00331021">
        <w:rPr>
          <w:b/>
          <w:bCs/>
          <w:rtl/>
        </w:rPr>
        <w:t xml:space="preserve"> </w:t>
      </w:r>
      <w:r w:rsidRPr="00331021">
        <w:rPr>
          <w:rFonts w:hint="eastAsia"/>
          <w:b/>
          <w:bCs/>
          <w:rtl/>
        </w:rPr>
        <w:t>אותה</w:t>
      </w:r>
      <w:r w:rsidRPr="00331021">
        <w:rPr>
          <w:b/>
          <w:bCs/>
          <w:rtl/>
        </w:rPr>
        <w:t xml:space="preserve"> </w:t>
      </w:r>
      <w:r w:rsidRPr="00331021">
        <w:rPr>
          <w:rFonts w:hint="eastAsia"/>
          <w:b/>
          <w:bCs/>
          <w:rtl/>
        </w:rPr>
        <w:t>הוא</w:t>
      </w:r>
      <w:r w:rsidRPr="00331021">
        <w:rPr>
          <w:b/>
          <w:bCs/>
          <w:rtl/>
        </w:rPr>
        <w:t xml:space="preserve"> </w:t>
      </w:r>
      <w:r w:rsidRPr="00331021">
        <w:rPr>
          <w:rFonts w:hint="eastAsia"/>
          <w:b/>
          <w:bCs/>
          <w:rtl/>
        </w:rPr>
        <w:t>מבקש</w:t>
      </w:r>
      <w:r w:rsidRPr="00331021">
        <w:rPr>
          <w:b/>
          <w:bCs/>
          <w:rtl/>
        </w:rPr>
        <w:t xml:space="preserve"> </w:t>
      </w:r>
      <w:r w:rsidRPr="00331021">
        <w:rPr>
          <w:rFonts w:hint="eastAsia"/>
          <w:b/>
          <w:bCs/>
          <w:rtl/>
        </w:rPr>
        <w:t>לייצ</w:t>
      </w:r>
      <w:r w:rsidRPr="00331021">
        <w:rPr>
          <w:rFonts w:hint="cs"/>
          <w:b/>
          <w:bCs/>
          <w:rtl/>
        </w:rPr>
        <w:t xml:space="preserve">ג. </w:t>
      </w:r>
    </w:p>
    <w:p w:rsidR="000118BE" w:rsidRDefault="000118BE" w:rsidP="00A8553B">
      <w:pPr>
        <w:numPr>
          <w:ilvl w:val="0"/>
          <w:numId w:val="40"/>
        </w:numPr>
        <w:tabs>
          <w:tab w:val="clear" w:pos="540"/>
          <w:tab w:val="left" w:pos="-316"/>
          <w:tab w:val="left" w:pos="0"/>
          <w:tab w:val="num" w:pos="363"/>
        </w:tabs>
        <w:bidi/>
        <w:spacing w:line="360" w:lineRule="auto"/>
        <w:ind w:left="363" w:hanging="283"/>
        <w:jc w:val="both"/>
        <w:rPr>
          <w:b/>
          <w:bCs/>
        </w:rPr>
      </w:pPr>
      <w:r w:rsidRPr="00C4569E">
        <w:rPr>
          <w:rFonts w:hint="cs"/>
          <w:b/>
          <w:bCs/>
          <w:rtl/>
        </w:rPr>
        <w:t>גם אם יוכח כי התובע הייצוגי היה עובד סוכנות הניצבים,</w:t>
      </w:r>
      <w:r w:rsidRPr="00C4569E">
        <w:rPr>
          <w:b/>
          <w:bCs/>
          <w:rtl/>
        </w:rPr>
        <w:t xml:space="preserve"> </w:t>
      </w:r>
      <w:r w:rsidRPr="00C4569E">
        <w:rPr>
          <w:rFonts w:hint="eastAsia"/>
          <w:b/>
          <w:bCs/>
          <w:rtl/>
        </w:rPr>
        <w:t>עדיין</w:t>
      </w:r>
      <w:r w:rsidRPr="00C4569E">
        <w:rPr>
          <w:b/>
          <w:bCs/>
          <w:rtl/>
        </w:rPr>
        <w:t xml:space="preserve"> </w:t>
      </w:r>
      <w:r w:rsidRPr="00C4569E">
        <w:rPr>
          <w:rFonts w:hint="eastAsia"/>
          <w:b/>
          <w:bCs/>
          <w:rtl/>
        </w:rPr>
        <w:t>מתעוררת</w:t>
      </w:r>
      <w:r w:rsidRPr="00C4569E">
        <w:rPr>
          <w:b/>
          <w:bCs/>
          <w:rtl/>
        </w:rPr>
        <w:t xml:space="preserve"> </w:t>
      </w:r>
      <w:r w:rsidRPr="00C4569E">
        <w:rPr>
          <w:rFonts w:hint="eastAsia"/>
          <w:b/>
          <w:bCs/>
          <w:rtl/>
        </w:rPr>
        <w:t>השאלה</w:t>
      </w:r>
      <w:r w:rsidRPr="00C4569E">
        <w:rPr>
          <w:b/>
          <w:bCs/>
          <w:rtl/>
        </w:rPr>
        <w:t xml:space="preserve"> </w:t>
      </w:r>
      <w:r w:rsidRPr="00C4569E">
        <w:rPr>
          <w:rFonts w:hint="eastAsia"/>
          <w:b/>
          <w:bCs/>
          <w:rtl/>
        </w:rPr>
        <w:t>האם</w:t>
      </w:r>
      <w:r w:rsidRPr="00C4569E">
        <w:rPr>
          <w:b/>
          <w:bCs/>
          <w:rtl/>
        </w:rPr>
        <w:t xml:space="preserve"> </w:t>
      </w:r>
      <w:r w:rsidRPr="00C4569E">
        <w:rPr>
          <w:rFonts w:hint="eastAsia"/>
          <w:b/>
          <w:bCs/>
          <w:rtl/>
        </w:rPr>
        <w:t>אין</w:t>
      </w:r>
      <w:r w:rsidRPr="00C4569E">
        <w:rPr>
          <w:b/>
          <w:bCs/>
          <w:rtl/>
        </w:rPr>
        <w:t xml:space="preserve"> </w:t>
      </w:r>
      <w:r w:rsidRPr="00C4569E">
        <w:rPr>
          <w:rFonts w:hint="eastAsia"/>
          <w:b/>
          <w:bCs/>
          <w:rtl/>
        </w:rPr>
        <w:t>מקום</w:t>
      </w:r>
      <w:r w:rsidRPr="00C4569E">
        <w:rPr>
          <w:b/>
          <w:bCs/>
          <w:rtl/>
        </w:rPr>
        <w:t xml:space="preserve"> </w:t>
      </w:r>
      <w:r w:rsidRPr="00C4569E">
        <w:rPr>
          <w:rFonts w:hint="eastAsia"/>
          <w:b/>
          <w:bCs/>
          <w:rtl/>
        </w:rPr>
        <w:t>לקבוע</w:t>
      </w:r>
      <w:r w:rsidRPr="00C4569E">
        <w:rPr>
          <w:b/>
          <w:bCs/>
          <w:rtl/>
        </w:rPr>
        <w:t xml:space="preserve"> </w:t>
      </w:r>
      <w:r w:rsidRPr="00C4569E">
        <w:rPr>
          <w:rFonts w:hint="eastAsia"/>
          <w:b/>
          <w:bCs/>
          <w:rtl/>
        </w:rPr>
        <w:t>כי</w:t>
      </w:r>
      <w:r w:rsidRPr="00C4569E">
        <w:rPr>
          <w:b/>
          <w:bCs/>
          <w:rtl/>
        </w:rPr>
        <w:t xml:space="preserve"> </w:t>
      </w:r>
      <w:r w:rsidRPr="00C4569E">
        <w:rPr>
          <w:rFonts w:hint="eastAsia"/>
          <w:b/>
          <w:bCs/>
          <w:rtl/>
        </w:rPr>
        <w:t>היה</w:t>
      </w:r>
      <w:r w:rsidRPr="00C4569E">
        <w:rPr>
          <w:b/>
          <w:bCs/>
          <w:rtl/>
        </w:rPr>
        <w:t xml:space="preserve"> </w:t>
      </w:r>
      <w:r w:rsidRPr="00C4569E">
        <w:rPr>
          <w:rFonts w:hint="eastAsia"/>
          <w:b/>
          <w:bCs/>
          <w:rtl/>
        </w:rPr>
        <w:t>גם</w:t>
      </w:r>
      <w:r w:rsidRPr="00C4569E">
        <w:rPr>
          <w:b/>
          <w:bCs/>
          <w:rtl/>
        </w:rPr>
        <w:t xml:space="preserve"> </w:t>
      </w:r>
      <w:r w:rsidRPr="00C4569E">
        <w:rPr>
          <w:rFonts w:hint="eastAsia"/>
          <w:b/>
          <w:bCs/>
          <w:rtl/>
        </w:rPr>
        <w:t>עובד</w:t>
      </w:r>
      <w:r w:rsidRPr="00C4569E">
        <w:rPr>
          <w:b/>
          <w:bCs/>
          <w:rtl/>
        </w:rPr>
        <w:t xml:space="preserve"> </w:t>
      </w:r>
      <w:r w:rsidRPr="00C4569E">
        <w:rPr>
          <w:rFonts w:hint="eastAsia"/>
          <w:b/>
          <w:bCs/>
          <w:rtl/>
        </w:rPr>
        <w:t>של</w:t>
      </w:r>
      <w:r w:rsidRPr="00C4569E">
        <w:rPr>
          <w:b/>
          <w:bCs/>
          <w:rtl/>
        </w:rPr>
        <w:t xml:space="preserve"> </w:t>
      </w:r>
      <w:r w:rsidRPr="00C4569E">
        <w:rPr>
          <w:rFonts w:hint="eastAsia"/>
          <w:b/>
          <w:bCs/>
          <w:rtl/>
        </w:rPr>
        <w:t>חברות</w:t>
      </w:r>
      <w:r w:rsidRPr="00C4569E">
        <w:rPr>
          <w:b/>
          <w:bCs/>
          <w:rtl/>
        </w:rPr>
        <w:t xml:space="preserve"> </w:t>
      </w:r>
      <w:r w:rsidRPr="00C4569E">
        <w:rPr>
          <w:rFonts w:hint="eastAsia"/>
          <w:b/>
          <w:bCs/>
          <w:rtl/>
        </w:rPr>
        <w:t>ההפקה</w:t>
      </w:r>
      <w:r w:rsidRPr="00C4569E">
        <w:rPr>
          <w:b/>
          <w:bCs/>
          <w:rtl/>
        </w:rPr>
        <w:t xml:space="preserve"> </w:t>
      </w:r>
      <w:r w:rsidRPr="00C4569E">
        <w:rPr>
          <w:rFonts w:hint="eastAsia"/>
          <w:b/>
          <w:bCs/>
          <w:rtl/>
        </w:rPr>
        <w:t>שבימי</w:t>
      </w:r>
      <w:r w:rsidRPr="00C4569E">
        <w:rPr>
          <w:b/>
          <w:bCs/>
          <w:rtl/>
        </w:rPr>
        <w:t xml:space="preserve"> </w:t>
      </w:r>
      <w:r w:rsidRPr="00C4569E">
        <w:rPr>
          <w:rFonts w:hint="eastAsia"/>
          <w:b/>
          <w:bCs/>
          <w:rtl/>
        </w:rPr>
        <w:t>הצילומים</w:t>
      </w:r>
      <w:r w:rsidRPr="00C4569E">
        <w:rPr>
          <w:b/>
          <w:bCs/>
          <w:rtl/>
        </w:rPr>
        <w:t xml:space="preserve"> </w:t>
      </w:r>
      <w:r w:rsidRPr="00C4569E">
        <w:rPr>
          <w:rFonts w:hint="eastAsia"/>
          <w:b/>
          <w:bCs/>
          <w:rtl/>
        </w:rPr>
        <w:t>שלהם</w:t>
      </w:r>
      <w:r w:rsidRPr="00C4569E">
        <w:rPr>
          <w:b/>
          <w:bCs/>
          <w:rtl/>
        </w:rPr>
        <w:t xml:space="preserve"> </w:t>
      </w:r>
      <w:r w:rsidRPr="00C4569E">
        <w:rPr>
          <w:rFonts w:hint="eastAsia"/>
          <w:b/>
          <w:bCs/>
          <w:rtl/>
        </w:rPr>
        <w:t>הצטלם</w:t>
      </w:r>
      <w:r w:rsidRPr="00C4569E">
        <w:rPr>
          <w:b/>
          <w:bCs/>
          <w:rtl/>
        </w:rPr>
        <w:t xml:space="preserve"> </w:t>
      </w:r>
      <w:r w:rsidRPr="00C4569E">
        <w:rPr>
          <w:rFonts w:hint="eastAsia"/>
          <w:b/>
          <w:bCs/>
          <w:rtl/>
        </w:rPr>
        <w:t>כניצב</w:t>
      </w:r>
      <w:r w:rsidRPr="00C4569E">
        <w:rPr>
          <w:b/>
          <w:bCs/>
          <w:rtl/>
        </w:rPr>
        <w:t xml:space="preserve">, </w:t>
      </w:r>
      <w:r w:rsidRPr="00C4569E">
        <w:rPr>
          <w:rFonts w:hint="eastAsia"/>
          <w:b/>
          <w:bCs/>
          <w:rtl/>
        </w:rPr>
        <w:t>ושאין</w:t>
      </w:r>
      <w:r w:rsidRPr="00C4569E">
        <w:rPr>
          <w:b/>
          <w:bCs/>
          <w:rtl/>
        </w:rPr>
        <w:t xml:space="preserve"> </w:t>
      </w:r>
      <w:r w:rsidRPr="00C4569E">
        <w:rPr>
          <w:rFonts w:hint="eastAsia"/>
          <w:b/>
          <w:bCs/>
          <w:rtl/>
        </w:rPr>
        <w:t>כל</w:t>
      </w:r>
      <w:r w:rsidRPr="00C4569E">
        <w:rPr>
          <w:b/>
          <w:bCs/>
          <w:rtl/>
        </w:rPr>
        <w:t xml:space="preserve"> </w:t>
      </w:r>
      <w:r w:rsidRPr="00C4569E">
        <w:rPr>
          <w:rFonts w:hint="eastAsia"/>
          <w:b/>
          <w:bCs/>
          <w:rtl/>
        </w:rPr>
        <w:t>מחלוקת</w:t>
      </w:r>
      <w:r w:rsidRPr="00C4569E">
        <w:rPr>
          <w:b/>
          <w:bCs/>
          <w:rtl/>
        </w:rPr>
        <w:t xml:space="preserve"> </w:t>
      </w:r>
      <w:r w:rsidRPr="00C4569E">
        <w:rPr>
          <w:rFonts w:hint="eastAsia"/>
          <w:b/>
          <w:bCs/>
          <w:rtl/>
        </w:rPr>
        <w:t>שהן</w:t>
      </w:r>
      <w:r w:rsidRPr="00C4569E">
        <w:rPr>
          <w:b/>
          <w:bCs/>
          <w:rtl/>
        </w:rPr>
        <w:t xml:space="preserve"> </w:t>
      </w:r>
      <w:r w:rsidRPr="00C4569E">
        <w:rPr>
          <w:rFonts w:hint="eastAsia"/>
          <w:b/>
          <w:bCs/>
          <w:rtl/>
        </w:rPr>
        <w:t>אלה</w:t>
      </w:r>
      <w:r w:rsidRPr="00C4569E">
        <w:rPr>
          <w:b/>
          <w:bCs/>
          <w:rtl/>
        </w:rPr>
        <w:t xml:space="preserve"> </w:t>
      </w:r>
      <w:r w:rsidRPr="00C4569E">
        <w:rPr>
          <w:rFonts w:hint="eastAsia"/>
          <w:b/>
          <w:bCs/>
          <w:rtl/>
        </w:rPr>
        <w:t>ששילמו</w:t>
      </w:r>
      <w:r w:rsidRPr="00C4569E">
        <w:rPr>
          <w:b/>
          <w:bCs/>
          <w:rtl/>
        </w:rPr>
        <w:t xml:space="preserve"> </w:t>
      </w:r>
      <w:r w:rsidRPr="00C4569E">
        <w:rPr>
          <w:rFonts w:hint="eastAsia"/>
          <w:b/>
          <w:bCs/>
          <w:rtl/>
        </w:rPr>
        <w:t>את</w:t>
      </w:r>
      <w:r w:rsidRPr="00C4569E">
        <w:rPr>
          <w:b/>
          <w:bCs/>
          <w:rtl/>
        </w:rPr>
        <w:t xml:space="preserve"> </w:t>
      </w:r>
      <w:r w:rsidRPr="00C4569E">
        <w:rPr>
          <w:rFonts w:hint="eastAsia"/>
          <w:b/>
          <w:bCs/>
          <w:rtl/>
        </w:rPr>
        <w:t>השכר</w:t>
      </w:r>
      <w:r w:rsidRPr="00C4569E">
        <w:rPr>
          <w:b/>
          <w:bCs/>
          <w:rtl/>
        </w:rPr>
        <w:t xml:space="preserve"> </w:t>
      </w:r>
      <w:r w:rsidRPr="00C4569E">
        <w:rPr>
          <w:rFonts w:hint="eastAsia"/>
          <w:b/>
          <w:bCs/>
          <w:rtl/>
        </w:rPr>
        <w:t>שקיבל</w:t>
      </w:r>
      <w:r w:rsidRPr="00C4569E">
        <w:rPr>
          <w:b/>
          <w:bCs/>
          <w:rtl/>
        </w:rPr>
        <w:t xml:space="preserve"> </w:t>
      </w:r>
      <w:r w:rsidRPr="00C4569E">
        <w:rPr>
          <w:rFonts w:hint="eastAsia"/>
          <w:b/>
          <w:bCs/>
          <w:rtl/>
        </w:rPr>
        <w:t>עבור</w:t>
      </w:r>
      <w:r w:rsidRPr="00C4569E">
        <w:rPr>
          <w:b/>
          <w:bCs/>
          <w:rtl/>
        </w:rPr>
        <w:t xml:space="preserve"> </w:t>
      </w:r>
      <w:r w:rsidRPr="00C4569E">
        <w:rPr>
          <w:rFonts w:hint="eastAsia"/>
          <w:b/>
          <w:bCs/>
          <w:rtl/>
        </w:rPr>
        <w:t>ימי</w:t>
      </w:r>
      <w:r w:rsidRPr="00C4569E">
        <w:rPr>
          <w:b/>
          <w:bCs/>
          <w:rtl/>
        </w:rPr>
        <w:t xml:space="preserve"> </w:t>
      </w:r>
      <w:r w:rsidRPr="00C4569E">
        <w:rPr>
          <w:rFonts w:hint="eastAsia"/>
          <w:b/>
          <w:bCs/>
          <w:rtl/>
        </w:rPr>
        <w:t>הניצבות</w:t>
      </w:r>
      <w:r w:rsidRPr="00C4569E">
        <w:rPr>
          <w:b/>
          <w:bCs/>
          <w:rtl/>
        </w:rPr>
        <w:t xml:space="preserve"> </w:t>
      </w:r>
      <w:r w:rsidRPr="00C4569E">
        <w:rPr>
          <w:rFonts w:hint="eastAsia"/>
          <w:b/>
          <w:bCs/>
          <w:rtl/>
        </w:rPr>
        <w:t>שלו</w:t>
      </w:r>
      <w:r w:rsidRPr="00C4569E">
        <w:rPr>
          <w:b/>
          <w:bCs/>
          <w:rtl/>
        </w:rPr>
        <w:t xml:space="preserve"> </w:t>
      </w:r>
      <w:r w:rsidRPr="00C4569E">
        <w:rPr>
          <w:rFonts w:hint="eastAsia"/>
          <w:b/>
          <w:bCs/>
          <w:rtl/>
        </w:rPr>
        <w:t>באמצעות</w:t>
      </w:r>
      <w:r w:rsidRPr="00C4569E">
        <w:rPr>
          <w:b/>
          <w:bCs/>
          <w:rtl/>
        </w:rPr>
        <w:t xml:space="preserve"> </w:t>
      </w:r>
      <w:r w:rsidRPr="00C4569E">
        <w:rPr>
          <w:rFonts w:hint="cs"/>
          <w:b/>
          <w:bCs/>
          <w:rtl/>
        </w:rPr>
        <w:t>סוכנות הניצבים.</w:t>
      </w:r>
    </w:p>
    <w:p w:rsidR="000118BE" w:rsidRDefault="000118BE" w:rsidP="00A8553B">
      <w:pPr>
        <w:numPr>
          <w:ilvl w:val="0"/>
          <w:numId w:val="40"/>
        </w:numPr>
        <w:tabs>
          <w:tab w:val="clear" w:pos="540"/>
          <w:tab w:val="left" w:pos="-316"/>
          <w:tab w:val="left" w:pos="0"/>
          <w:tab w:val="num" w:pos="363"/>
        </w:tabs>
        <w:bidi/>
        <w:spacing w:line="360" w:lineRule="auto"/>
        <w:ind w:left="363" w:hanging="283"/>
        <w:jc w:val="both"/>
        <w:rPr>
          <w:b/>
          <w:bCs/>
        </w:rPr>
      </w:pPr>
      <w:r w:rsidRPr="00C4569E">
        <w:rPr>
          <w:rFonts w:hint="eastAsia"/>
          <w:b/>
          <w:bCs/>
          <w:rtl/>
        </w:rPr>
        <w:t>כתב</w:t>
      </w:r>
      <w:r w:rsidRPr="00C4569E">
        <w:rPr>
          <w:b/>
          <w:bCs/>
          <w:rtl/>
        </w:rPr>
        <w:t xml:space="preserve"> </w:t>
      </w:r>
      <w:r w:rsidRPr="00C4569E">
        <w:rPr>
          <w:rFonts w:hint="eastAsia"/>
          <w:b/>
          <w:bCs/>
          <w:rtl/>
        </w:rPr>
        <w:t>התביעה</w:t>
      </w:r>
      <w:r w:rsidRPr="00C4569E">
        <w:rPr>
          <w:b/>
          <w:bCs/>
          <w:rtl/>
        </w:rPr>
        <w:t xml:space="preserve"> </w:t>
      </w:r>
      <w:r w:rsidRPr="00C4569E">
        <w:rPr>
          <w:rFonts w:hint="eastAsia"/>
          <w:b/>
          <w:bCs/>
          <w:rtl/>
        </w:rPr>
        <w:t>שהגיש</w:t>
      </w:r>
      <w:r w:rsidRPr="00C4569E">
        <w:rPr>
          <w:b/>
          <w:bCs/>
          <w:rtl/>
        </w:rPr>
        <w:t xml:space="preserve"> </w:t>
      </w:r>
      <w:r w:rsidRPr="00C4569E">
        <w:rPr>
          <w:rFonts w:hint="cs"/>
          <w:b/>
          <w:bCs/>
          <w:rtl/>
        </w:rPr>
        <w:t>התובע הייצוגי</w:t>
      </w:r>
      <w:r w:rsidRPr="00C4569E">
        <w:rPr>
          <w:b/>
          <w:bCs/>
          <w:rtl/>
        </w:rPr>
        <w:t xml:space="preserve"> </w:t>
      </w:r>
      <w:r w:rsidRPr="00C4569E">
        <w:rPr>
          <w:rFonts w:hint="eastAsia"/>
          <w:b/>
          <w:bCs/>
          <w:rtl/>
        </w:rPr>
        <w:t>כולל</w:t>
      </w:r>
      <w:r w:rsidRPr="00C4569E">
        <w:rPr>
          <w:b/>
          <w:bCs/>
          <w:rtl/>
        </w:rPr>
        <w:t xml:space="preserve"> </w:t>
      </w:r>
      <w:r w:rsidRPr="00C4569E">
        <w:rPr>
          <w:rFonts w:hint="eastAsia"/>
          <w:b/>
          <w:bCs/>
          <w:rtl/>
        </w:rPr>
        <w:t>גם</w:t>
      </w:r>
      <w:r w:rsidRPr="00C4569E">
        <w:rPr>
          <w:b/>
          <w:bCs/>
          <w:rtl/>
        </w:rPr>
        <w:t xml:space="preserve"> </w:t>
      </w:r>
      <w:r w:rsidRPr="00C4569E">
        <w:rPr>
          <w:rFonts w:hint="eastAsia"/>
          <w:b/>
          <w:bCs/>
          <w:rtl/>
        </w:rPr>
        <w:t>דרישה</w:t>
      </w:r>
      <w:r w:rsidRPr="00C4569E">
        <w:rPr>
          <w:b/>
          <w:bCs/>
          <w:rtl/>
        </w:rPr>
        <w:t xml:space="preserve"> </w:t>
      </w:r>
      <w:r w:rsidRPr="00C4569E">
        <w:rPr>
          <w:rFonts w:hint="eastAsia"/>
          <w:b/>
          <w:bCs/>
          <w:rtl/>
        </w:rPr>
        <w:t>לגמול</w:t>
      </w:r>
      <w:r w:rsidRPr="00C4569E">
        <w:rPr>
          <w:b/>
          <w:bCs/>
          <w:rtl/>
        </w:rPr>
        <w:t xml:space="preserve"> </w:t>
      </w:r>
      <w:r w:rsidRPr="00C4569E">
        <w:rPr>
          <w:rFonts w:hint="eastAsia"/>
          <w:b/>
          <w:bCs/>
          <w:rtl/>
        </w:rPr>
        <w:t>שעות</w:t>
      </w:r>
      <w:r w:rsidRPr="00C4569E">
        <w:rPr>
          <w:b/>
          <w:bCs/>
          <w:rtl/>
        </w:rPr>
        <w:t xml:space="preserve"> </w:t>
      </w:r>
      <w:r w:rsidRPr="00C4569E">
        <w:rPr>
          <w:rFonts w:hint="eastAsia"/>
          <w:b/>
          <w:bCs/>
          <w:rtl/>
        </w:rPr>
        <w:t>נוספות</w:t>
      </w:r>
      <w:r w:rsidRPr="00C4569E">
        <w:rPr>
          <w:b/>
          <w:bCs/>
          <w:rtl/>
        </w:rPr>
        <w:t xml:space="preserve">, </w:t>
      </w:r>
      <w:r w:rsidRPr="00C4569E">
        <w:rPr>
          <w:rFonts w:hint="cs"/>
          <w:b/>
          <w:bCs/>
          <w:rtl/>
        </w:rPr>
        <w:t>ו</w:t>
      </w:r>
      <w:r w:rsidRPr="00C4569E">
        <w:rPr>
          <w:rFonts w:hint="eastAsia"/>
          <w:b/>
          <w:bCs/>
          <w:rtl/>
        </w:rPr>
        <w:t>מסיבה</w:t>
      </w:r>
      <w:r w:rsidRPr="00C4569E">
        <w:rPr>
          <w:b/>
          <w:bCs/>
          <w:rtl/>
        </w:rPr>
        <w:t xml:space="preserve"> </w:t>
      </w:r>
      <w:r w:rsidRPr="00C4569E">
        <w:rPr>
          <w:rFonts w:hint="eastAsia"/>
          <w:b/>
          <w:bCs/>
          <w:rtl/>
        </w:rPr>
        <w:t>שאינה</w:t>
      </w:r>
      <w:r w:rsidRPr="00C4569E">
        <w:rPr>
          <w:b/>
          <w:bCs/>
          <w:rtl/>
        </w:rPr>
        <w:t xml:space="preserve"> </w:t>
      </w:r>
      <w:r w:rsidRPr="00C4569E">
        <w:rPr>
          <w:rFonts w:hint="eastAsia"/>
          <w:b/>
          <w:bCs/>
          <w:rtl/>
        </w:rPr>
        <w:t>ברורה</w:t>
      </w:r>
      <w:r w:rsidRPr="00C4569E">
        <w:rPr>
          <w:b/>
          <w:bCs/>
          <w:rtl/>
        </w:rPr>
        <w:t xml:space="preserve"> "</w:t>
      </w:r>
      <w:r w:rsidRPr="00C4569E">
        <w:rPr>
          <w:rFonts w:hint="eastAsia"/>
          <w:b/>
          <w:bCs/>
          <w:rtl/>
        </w:rPr>
        <w:t>ויתר</w:t>
      </w:r>
      <w:r w:rsidRPr="00C4569E">
        <w:rPr>
          <w:b/>
          <w:bCs/>
          <w:rtl/>
        </w:rPr>
        <w:t xml:space="preserve">" </w:t>
      </w:r>
      <w:r w:rsidRPr="00C4569E">
        <w:rPr>
          <w:rFonts w:hint="cs"/>
          <w:b/>
          <w:bCs/>
          <w:rtl/>
        </w:rPr>
        <w:t xml:space="preserve">התובע הייצוגי </w:t>
      </w:r>
      <w:r w:rsidRPr="00C4569E">
        <w:rPr>
          <w:rFonts w:hint="eastAsia"/>
          <w:b/>
          <w:bCs/>
          <w:rtl/>
        </w:rPr>
        <w:t>במסגרת</w:t>
      </w:r>
      <w:r w:rsidRPr="00C4569E">
        <w:rPr>
          <w:b/>
          <w:bCs/>
          <w:rtl/>
        </w:rPr>
        <w:t xml:space="preserve"> </w:t>
      </w:r>
      <w:r w:rsidRPr="00C4569E">
        <w:rPr>
          <w:rFonts w:hint="eastAsia"/>
          <w:b/>
          <w:bCs/>
          <w:rtl/>
        </w:rPr>
        <w:t>הבקשה</w:t>
      </w:r>
      <w:r w:rsidRPr="00C4569E">
        <w:rPr>
          <w:b/>
          <w:bCs/>
          <w:rtl/>
        </w:rPr>
        <w:t xml:space="preserve"> </w:t>
      </w:r>
      <w:r w:rsidRPr="00C4569E">
        <w:rPr>
          <w:rFonts w:hint="eastAsia"/>
          <w:b/>
          <w:bCs/>
          <w:rtl/>
        </w:rPr>
        <w:t>לאישור</w:t>
      </w:r>
      <w:r w:rsidRPr="00C4569E">
        <w:rPr>
          <w:rFonts w:hint="cs"/>
          <w:b/>
          <w:bCs/>
          <w:rtl/>
        </w:rPr>
        <w:t xml:space="preserve"> התובענה כייצוגית,</w:t>
      </w:r>
      <w:r w:rsidRPr="00C4569E">
        <w:rPr>
          <w:b/>
          <w:bCs/>
          <w:rtl/>
        </w:rPr>
        <w:t xml:space="preserve"> </w:t>
      </w:r>
      <w:r w:rsidRPr="00C4569E">
        <w:rPr>
          <w:rFonts w:hint="eastAsia"/>
          <w:b/>
          <w:bCs/>
          <w:rtl/>
        </w:rPr>
        <w:t>על</w:t>
      </w:r>
      <w:r w:rsidRPr="00C4569E">
        <w:rPr>
          <w:b/>
          <w:bCs/>
          <w:rtl/>
        </w:rPr>
        <w:t xml:space="preserve"> </w:t>
      </w:r>
      <w:r w:rsidRPr="00C4569E">
        <w:rPr>
          <w:rFonts w:hint="eastAsia"/>
          <w:b/>
          <w:bCs/>
          <w:rtl/>
        </w:rPr>
        <w:t>גמול</w:t>
      </w:r>
      <w:r w:rsidRPr="00C4569E">
        <w:rPr>
          <w:b/>
          <w:bCs/>
          <w:rtl/>
        </w:rPr>
        <w:t xml:space="preserve"> </w:t>
      </w:r>
      <w:r w:rsidRPr="00C4569E">
        <w:rPr>
          <w:rFonts w:hint="eastAsia"/>
          <w:b/>
          <w:bCs/>
          <w:rtl/>
        </w:rPr>
        <w:t>השעות</w:t>
      </w:r>
      <w:r w:rsidRPr="00C4569E">
        <w:rPr>
          <w:b/>
          <w:bCs/>
          <w:rtl/>
        </w:rPr>
        <w:t xml:space="preserve"> </w:t>
      </w:r>
      <w:r w:rsidRPr="00C4569E">
        <w:rPr>
          <w:rFonts w:hint="eastAsia"/>
          <w:b/>
          <w:bCs/>
          <w:rtl/>
        </w:rPr>
        <w:t>הנוספות</w:t>
      </w:r>
      <w:r w:rsidRPr="00C4569E">
        <w:rPr>
          <w:b/>
          <w:bCs/>
          <w:rtl/>
        </w:rPr>
        <w:t xml:space="preserve"> </w:t>
      </w:r>
      <w:r w:rsidRPr="00C4569E">
        <w:rPr>
          <w:rFonts w:hint="eastAsia"/>
          <w:b/>
          <w:bCs/>
          <w:rtl/>
        </w:rPr>
        <w:t>עבור</w:t>
      </w:r>
      <w:r w:rsidRPr="00C4569E">
        <w:rPr>
          <w:b/>
          <w:bCs/>
          <w:rtl/>
        </w:rPr>
        <w:t xml:space="preserve"> </w:t>
      </w:r>
      <w:r w:rsidRPr="00C4569E">
        <w:rPr>
          <w:rFonts w:hint="eastAsia"/>
          <w:b/>
          <w:bCs/>
          <w:rtl/>
        </w:rPr>
        <w:t>כל</w:t>
      </w:r>
      <w:r w:rsidRPr="00C4569E">
        <w:rPr>
          <w:b/>
          <w:bCs/>
          <w:rtl/>
        </w:rPr>
        <w:t xml:space="preserve"> </w:t>
      </w:r>
      <w:r w:rsidRPr="00C4569E">
        <w:rPr>
          <w:rFonts w:hint="eastAsia"/>
          <w:b/>
          <w:bCs/>
          <w:rtl/>
        </w:rPr>
        <w:t>שאר</w:t>
      </w:r>
      <w:r w:rsidRPr="00C4569E">
        <w:rPr>
          <w:b/>
          <w:bCs/>
          <w:rtl/>
        </w:rPr>
        <w:t xml:space="preserve"> </w:t>
      </w:r>
      <w:r w:rsidRPr="00C4569E">
        <w:rPr>
          <w:rFonts w:hint="eastAsia"/>
          <w:b/>
          <w:bCs/>
          <w:rtl/>
        </w:rPr>
        <w:t>הניצבים</w:t>
      </w:r>
      <w:r w:rsidRPr="00C4569E">
        <w:rPr>
          <w:b/>
          <w:bCs/>
          <w:rtl/>
        </w:rPr>
        <w:t xml:space="preserve"> </w:t>
      </w:r>
      <w:r w:rsidRPr="00C4569E">
        <w:rPr>
          <w:rFonts w:hint="eastAsia"/>
          <w:b/>
          <w:bCs/>
          <w:rtl/>
        </w:rPr>
        <w:t>אותם</w:t>
      </w:r>
      <w:r w:rsidRPr="00C4569E">
        <w:rPr>
          <w:b/>
          <w:bCs/>
          <w:rtl/>
        </w:rPr>
        <w:t xml:space="preserve"> </w:t>
      </w:r>
      <w:r w:rsidRPr="00C4569E">
        <w:rPr>
          <w:rFonts w:hint="eastAsia"/>
          <w:b/>
          <w:bCs/>
          <w:rtl/>
        </w:rPr>
        <w:t>הוא</w:t>
      </w:r>
      <w:r w:rsidRPr="00C4569E">
        <w:rPr>
          <w:b/>
          <w:bCs/>
          <w:rtl/>
        </w:rPr>
        <w:t xml:space="preserve"> </w:t>
      </w:r>
      <w:r w:rsidRPr="00C4569E">
        <w:rPr>
          <w:rFonts w:hint="eastAsia"/>
          <w:b/>
          <w:bCs/>
          <w:rtl/>
        </w:rPr>
        <w:t>מבקש</w:t>
      </w:r>
      <w:r w:rsidRPr="00C4569E">
        <w:rPr>
          <w:b/>
          <w:bCs/>
          <w:rtl/>
        </w:rPr>
        <w:t xml:space="preserve"> </w:t>
      </w:r>
      <w:r w:rsidRPr="00C4569E">
        <w:rPr>
          <w:rFonts w:hint="eastAsia"/>
          <w:b/>
          <w:bCs/>
          <w:rtl/>
        </w:rPr>
        <w:t>לייצג</w:t>
      </w:r>
      <w:r w:rsidRPr="00C4569E">
        <w:rPr>
          <w:rFonts w:hint="cs"/>
          <w:b/>
          <w:bCs/>
          <w:rtl/>
        </w:rPr>
        <w:t>. נקבע כי</w:t>
      </w:r>
      <w:r w:rsidRPr="00C4569E">
        <w:rPr>
          <w:b/>
          <w:bCs/>
          <w:rtl/>
        </w:rPr>
        <w:t xml:space="preserve"> </w:t>
      </w:r>
      <w:r w:rsidRPr="00C4569E">
        <w:rPr>
          <w:rFonts w:hint="eastAsia"/>
          <w:b/>
          <w:bCs/>
          <w:rtl/>
        </w:rPr>
        <w:t>יש</w:t>
      </w:r>
      <w:r w:rsidRPr="00C4569E">
        <w:rPr>
          <w:b/>
          <w:bCs/>
          <w:rtl/>
        </w:rPr>
        <w:t xml:space="preserve"> </w:t>
      </w:r>
      <w:r w:rsidRPr="00C4569E">
        <w:rPr>
          <w:rFonts w:hint="eastAsia"/>
          <w:b/>
          <w:bCs/>
          <w:rtl/>
        </w:rPr>
        <w:t>מקום</w:t>
      </w:r>
      <w:r w:rsidRPr="00C4569E">
        <w:rPr>
          <w:b/>
          <w:bCs/>
          <w:rtl/>
        </w:rPr>
        <w:t xml:space="preserve"> </w:t>
      </w:r>
      <w:r w:rsidRPr="00C4569E">
        <w:rPr>
          <w:rFonts w:hint="eastAsia"/>
          <w:b/>
          <w:bCs/>
          <w:rtl/>
        </w:rPr>
        <w:t>לבירור</w:t>
      </w:r>
      <w:r w:rsidRPr="00C4569E">
        <w:rPr>
          <w:b/>
          <w:bCs/>
          <w:rtl/>
        </w:rPr>
        <w:t xml:space="preserve"> </w:t>
      </w:r>
      <w:r w:rsidRPr="00C4569E">
        <w:rPr>
          <w:rFonts w:hint="eastAsia"/>
          <w:b/>
          <w:bCs/>
          <w:rtl/>
        </w:rPr>
        <w:t>אינדיבידואלי</w:t>
      </w:r>
      <w:r w:rsidRPr="00C4569E">
        <w:rPr>
          <w:b/>
          <w:bCs/>
          <w:rtl/>
        </w:rPr>
        <w:t xml:space="preserve"> </w:t>
      </w:r>
      <w:r w:rsidRPr="00C4569E">
        <w:rPr>
          <w:rFonts w:hint="eastAsia"/>
          <w:b/>
          <w:bCs/>
          <w:rtl/>
        </w:rPr>
        <w:t>לגבי</w:t>
      </w:r>
      <w:r w:rsidRPr="00C4569E">
        <w:rPr>
          <w:b/>
          <w:bCs/>
          <w:rtl/>
        </w:rPr>
        <w:t xml:space="preserve"> </w:t>
      </w:r>
      <w:r w:rsidRPr="00C4569E">
        <w:rPr>
          <w:rFonts w:hint="eastAsia"/>
          <w:b/>
          <w:bCs/>
          <w:rtl/>
        </w:rPr>
        <w:t>כל</w:t>
      </w:r>
      <w:r w:rsidRPr="00C4569E">
        <w:rPr>
          <w:b/>
          <w:bCs/>
          <w:rtl/>
        </w:rPr>
        <w:t xml:space="preserve"> </w:t>
      </w:r>
      <w:r w:rsidRPr="00C4569E">
        <w:rPr>
          <w:rFonts w:hint="eastAsia"/>
          <w:b/>
          <w:bCs/>
          <w:rtl/>
        </w:rPr>
        <w:t>ניצב</w:t>
      </w:r>
      <w:r w:rsidRPr="00C4569E">
        <w:rPr>
          <w:b/>
          <w:bCs/>
          <w:rtl/>
        </w:rPr>
        <w:t xml:space="preserve"> </w:t>
      </w:r>
      <w:r w:rsidRPr="00C4569E">
        <w:rPr>
          <w:rFonts w:hint="eastAsia"/>
          <w:b/>
          <w:bCs/>
          <w:rtl/>
        </w:rPr>
        <w:t>וניצב</w:t>
      </w:r>
      <w:r w:rsidRPr="00C4569E">
        <w:rPr>
          <w:b/>
          <w:bCs/>
          <w:rtl/>
        </w:rPr>
        <w:t xml:space="preserve"> (</w:t>
      </w:r>
      <w:r w:rsidRPr="00C4569E">
        <w:rPr>
          <w:rFonts w:hint="eastAsia"/>
          <w:b/>
          <w:bCs/>
          <w:rtl/>
        </w:rPr>
        <w:t>או</w:t>
      </w:r>
      <w:r w:rsidRPr="00C4569E">
        <w:rPr>
          <w:b/>
          <w:bCs/>
          <w:rtl/>
        </w:rPr>
        <w:t xml:space="preserve"> </w:t>
      </w:r>
      <w:r w:rsidRPr="00C4569E">
        <w:rPr>
          <w:rFonts w:hint="eastAsia"/>
          <w:b/>
          <w:bCs/>
          <w:rtl/>
        </w:rPr>
        <w:t>לכל</w:t>
      </w:r>
      <w:r w:rsidRPr="00C4569E">
        <w:rPr>
          <w:b/>
          <w:bCs/>
          <w:rtl/>
        </w:rPr>
        <w:t xml:space="preserve"> </w:t>
      </w:r>
      <w:r w:rsidRPr="00C4569E">
        <w:rPr>
          <w:rFonts w:hint="eastAsia"/>
          <w:b/>
          <w:bCs/>
          <w:rtl/>
        </w:rPr>
        <w:t>הפחות</w:t>
      </w:r>
      <w:r w:rsidRPr="00C4569E">
        <w:rPr>
          <w:b/>
          <w:bCs/>
          <w:rtl/>
        </w:rPr>
        <w:t xml:space="preserve">, </w:t>
      </w:r>
      <w:r w:rsidRPr="00C4569E">
        <w:rPr>
          <w:rFonts w:hint="eastAsia"/>
          <w:b/>
          <w:bCs/>
          <w:rtl/>
        </w:rPr>
        <w:t>לגבי</w:t>
      </w:r>
      <w:r w:rsidRPr="00C4569E">
        <w:rPr>
          <w:b/>
          <w:bCs/>
          <w:rtl/>
        </w:rPr>
        <w:t xml:space="preserve"> "</w:t>
      </w:r>
      <w:r w:rsidRPr="00C4569E">
        <w:rPr>
          <w:rFonts w:hint="eastAsia"/>
          <w:b/>
          <w:bCs/>
          <w:rtl/>
        </w:rPr>
        <w:t>קבוצות</w:t>
      </w:r>
      <w:r w:rsidRPr="00C4569E">
        <w:rPr>
          <w:b/>
          <w:bCs/>
          <w:rtl/>
        </w:rPr>
        <w:t xml:space="preserve">" </w:t>
      </w:r>
      <w:r w:rsidRPr="00C4569E">
        <w:rPr>
          <w:rFonts w:hint="eastAsia"/>
          <w:b/>
          <w:bCs/>
          <w:rtl/>
        </w:rPr>
        <w:t>של</w:t>
      </w:r>
      <w:r w:rsidRPr="00C4569E">
        <w:rPr>
          <w:b/>
          <w:bCs/>
          <w:rtl/>
        </w:rPr>
        <w:t xml:space="preserve"> </w:t>
      </w:r>
      <w:r w:rsidRPr="00C4569E">
        <w:rPr>
          <w:rFonts w:hint="eastAsia"/>
          <w:b/>
          <w:bCs/>
          <w:rtl/>
        </w:rPr>
        <w:t>ניצבים</w:t>
      </w:r>
      <w:r w:rsidRPr="00C4569E">
        <w:rPr>
          <w:b/>
          <w:bCs/>
          <w:rtl/>
        </w:rPr>
        <w:t xml:space="preserve">) </w:t>
      </w:r>
      <w:r w:rsidRPr="00C4569E">
        <w:rPr>
          <w:rFonts w:hint="eastAsia"/>
          <w:b/>
          <w:bCs/>
          <w:rtl/>
        </w:rPr>
        <w:t>מה</w:t>
      </w:r>
      <w:r w:rsidRPr="00C4569E">
        <w:rPr>
          <w:b/>
          <w:bCs/>
          <w:rtl/>
        </w:rPr>
        <w:t xml:space="preserve"> </w:t>
      </w:r>
      <w:r w:rsidRPr="00C4569E">
        <w:rPr>
          <w:rFonts w:hint="eastAsia"/>
          <w:b/>
          <w:bCs/>
          <w:rtl/>
        </w:rPr>
        <w:t>היה</w:t>
      </w:r>
      <w:r w:rsidRPr="00C4569E">
        <w:rPr>
          <w:b/>
          <w:bCs/>
          <w:rtl/>
        </w:rPr>
        <w:t xml:space="preserve"> </w:t>
      </w:r>
      <w:r w:rsidRPr="00C4569E">
        <w:rPr>
          <w:rFonts w:hint="eastAsia"/>
          <w:b/>
          <w:bCs/>
          <w:rtl/>
        </w:rPr>
        <w:t>היקף</w:t>
      </w:r>
      <w:r w:rsidRPr="00C4569E">
        <w:rPr>
          <w:b/>
          <w:bCs/>
          <w:rtl/>
        </w:rPr>
        <w:t xml:space="preserve"> </w:t>
      </w:r>
      <w:r w:rsidRPr="00C4569E">
        <w:rPr>
          <w:rFonts w:hint="eastAsia"/>
          <w:b/>
          <w:bCs/>
          <w:rtl/>
        </w:rPr>
        <w:t>השעות</w:t>
      </w:r>
      <w:r w:rsidRPr="00C4569E">
        <w:rPr>
          <w:b/>
          <w:bCs/>
          <w:rtl/>
        </w:rPr>
        <w:t xml:space="preserve"> </w:t>
      </w:r>
      <w:r w:rsidRPr="00C4569E">
        <w:rPr>
          <w:rFonts w:hint="eastAsia"/>
          <w:b/>
          <w:bCs/>
          <w:rtl/>
        </w:rPr>
        <w:t>שהועסקו</w:t>
      </w:r>
      <w:r w:rsidRPr="00C4569E">
        <w:rPr>
          <w:b/>
          <w:bCs/>
          <w:rtl/>
        </w:rPr>
        <w:t xml:space="preserve"> </w:t>
      </w:r>
      <w:r w:rsidRPr="00C4569E">
        <w:rPr>
          <w:rFonts w:hint="eastAsia"/>
          <w:b/>
          <w:bCs/>
          <w:rtl/>
        </w:rPr>
        <w:t>בפועל</w:t>
      </w:r>
      <w:r w:rsidRPr="00C4569E">
        <w:rPr>
          <w:rFonts w:hint="cs"/>
          <w:b/>
          <w:bCs/>
          <w:rtl/>
        </w:rPr>
        <w:t>.</w:t>
      </w:r>
    </w:p>
    <w:p w:rsidR="000118BE" w:rsidRPr="00C4569E" w:rsidRDefault="000118BE" w:rsidP="00A8553B">
      <w:pPr>
        <w:numPr>
          <w:ilvl w:val="0"/>
          <w:numId w:val="40"/>
        </w:numPr>
        <w:tabs>
          <w:tab w:val="clear" w:pos="540"/>
          <w:tab w:val="left" w:pos="-316"/>
          <w:tab w:val="left" w:pos="0"/>
          <w:tab w:val="num" w:pos="363"/>
        </w:tabs>
        <w:bidi/>
        <w:spacing w:line="360" w:lineRule="auto"/>
        <w:ind w:left="363" w:hanging="283"/>
        <w:jc w:val="both"/>
        <w:rPr>
          <w:b/>
          <w:bCs/>
          <w:rtl/>
        </w:rPr>
      </w:pPr>
      <w:r w:rsidRPr="00C4569E">
        <w:rPr>
          <w:rFonts w:hint="cs"/>
          <w:b/>
          <w:bCs/>
          <w:rtl/>
        </w:rPr>
        <w:t xml:space="preserve">נקבע כי מאחר שלאחר </w:t>
      </w:r>
      <w:r w:rsidRPr="00C4569E">
        <w:rPr>
          <w:rFonts w:hint="eastAsia"/>
          <w:b/>
          <w:bCs/>
          <w:rtl/>
        </w:rPr>
        <w:t>בירור</w:t>
      </w:r>
      <w:r w:rsidRPr="00C4569E">
        <w:rPr>
          <w:b/>
          <w:bCs/>
          <w:rtl/>
        </w:rPr>
        <w:t xml:space="preserve"> </w:t>
      </w:r>
      <w:r w:rsidRPr="00C4569E">
        <w:rPr>
          <w:rFonts w:hint="cs"/>
          <w:b/>
          <w:bCs/>
          <w:rtl/>
        </w:rPr>
        <w:t>ה</w:t>
      </w:r>
      <w:r w:rsidRPr="00C4569E">
        <w:rPr>
          <w:rFonts w:hint="eastAsia"/>
          <w:b/>
          <w:bCs/>
          <w:rtl/>
        </w:rPr>
        <w:t>תובענה</w:t>
      </w:r>
      <w:r w:rsidRPr="00C4569E">
        <w:rPr>
          <w:b/>
          <w:bCs/>
          <w:rtl/>
        </w:rPr>
        <w:t xml:space="preserve"> </w:t>
      </w:r>
      <w:r w:rsidRPr="00C4569E">
        <w:rPr>
          <w:rFonts w:hint="cs"/>
          <w:b/>
          <w:bCs/>
          <w:rtl/>
        </w:rPr>
        <w:t>ה</w:t>
      </w:r>
      <w:r w:rsidRPr="00C4569E">
        <w:rPr>
          <w:rFonts w:hint="eastAsia"/>
          <w:b/>
          <w:bCs/>
          <w:rtl/>
        </w:rPr>
        <w:t>ייצוגית</w:t>
      </w:r>
      <w:r w:rsidRPr="00C4569E">
        <w:rPr>
          <w:rFonts w:hint="cs"/>
          <w:b/>
          <w:bCs/>
          <w:rtl/>
        </w:rPr>
        <w:t xml:space="preserve"> בעילות הקבוצתיות</w:t>
      </w:r>
      <w:r w:rsidRPr="00C4569E">
        <w:rPr>
          <w:b/>
          <w:bCs/>
          <w:rtl/>
        </w:rPr>
        <w:t xml:space="preserve"> </w:t>
      </w:r>
      <w:r w:rsidRPr="00C4569E">
        <w:rPr>
          <w:rFonts w:hint="cs"/>
          <w:b/>
          <w:bCs/>
          <w:rtl/>
        </w:rPr>
        <w:t xml:space="preserve">יוותרו </w:t>
      </w:r>
      <w:r w:rsidRPr="00C4569E">
        <w:rPr>
          <w:rFonts w:hint="eastAsia"/>
          <w:b/>
          <w:bCs/>
          <w:rtl/>
        </w:rPr>
        <w:t>סוגיות</w:t>
      </w:r>
      <w:r w:rsidRPr="00C4569E">
        <w:rPr>
          <w:b/>
          <w:bCs/>
          <w:rtl/>
        </w:rPr>
        <w:t xml:space="preserve"> </w:t>
      </w:r>
      <w:r w:rsidRPr="00C4569E">
        <w:rPr>
          <w:rFonts w:hint="cs"/>
          <w:b/>
          <w:bCs/>
          <w:rtl/>
        </w:rPr>
        <w:t xml:space="preserve">אישיות </w:t>
      </w:r>
      <w:r w:rsidRPr="00C4569E">
        <w:rPr>
          <w:rFonts w:hint="eastAsia"/>
          <w:b/>
          <w:bCs/>
          <w:rtl/>
        </w:rPr>
        <w:t>רבות</w:t>
      </w:r>
      <w:r w:rsidRPr="00C4569E">
        <w:rPr>
          <w:b/>
          <w:bCs/>
          <w:rtl/>
        </w:rPr>
        <w:t xml:space="preserve"> </w:t>
      </w:r>
      <w:r w:rsidRPr="00C4569E">
        <w:rPr>
          <w:rFonts w:hint="eastAsia"/>
          <w:b/>
          <w:bCs/>
          <w:rtl/>
        </w:rPr>
        <w:t>לבירור</w:t>
      </w:r>
      <w:r w:rsidRPr="00C4569E">
        <w:rPr>
          <w:b/>
          <w:bCs/>
          <w:rtl/>
        </w:rPr>
        <w:t xml:space="preserve"> </w:t>
      </w:r>
      <w:r w:rsidRPr="00C4569E">
        <w:rPr>
          <w:rFonts w:hint="eastAsia"/>
          <w:b/>
          <w:bCs/>
          <w:rtl/>
        </w:rPr>
        <w:t>בעניינו</w:t>
      </w:r>
      <w:r w:rsidRPr="00C4569E">
        <w:rPr>
          <w:b/>
          <w:bCs/>
          <w:rtl/>
        </w:rPr>
        <w:t xml:space="preserve"> </w:t>
      </w:r>
      <w:r w:rsidRPr="00C4569E">
        <w:rPr>
          <w:rFonts w:hint="eastAsia"/>
          <w:b/>
          <w:bCs/>
          <w:rtl/>
        </w:rPr>
        <w:t>של</w:t>
      </w:r>
      <w:r w:rsidRPr="00C4569E">
        <w:rPr>
          <w:b/>
          <w:bCs/>
          <w:rtl/>
        </w:rPr>
        <w:t xml:space="preserve"> </w:t>
      </w:r>
      <w:r w:rsidRPr="00C4569E">
        <w:rPr>
          <w:rFonts w:hint="eastAsia"/>
          <w:b/>
          <w:bCs/>
          <w:rtl/>
        </w:rPr>
        <w:t>כל</w:t>
      </w:r>
      <w:r w:rsidRPr="00C4569E">
        <w:rPr>
          <w:b/>
          <w:bCs/>
          <w:rtl/>
        </w:rPr>
        <w:t xml:space="preserve"> </w:t>
      </w:r>
      <w:r w:rsidRPr="00C4569E">
        <w:rPr>
          <w:rFonts w:hint="eastAsia"/>
          <w:b/>
          <w:bCs/>
          <w:rtl/>
        </w:rPr>
        <w:t>אחד</w:t>
      </w:r>
      <w:r w:rsidRPr="00C4569E">
        <w:rPr>
          <w:b/>
          <w:bCs/>
          <w:rtl/>
        </w:rPr>
        <w:t xml:space="preserve"> </w:t>
      </w:r>
      <w:r w:rsidRPr="00C4569E">
        <w:rPr>
          <w:rFonts w:hint="eastAsia"/>
          <w:b/>
          <w:bCs/>
          <w:rtl/>
        </w:rPr>
        <w:t>מחברי</w:t>
      </w:r>
      <w:r w:rsidRPr="00C4569E">
        <w:rPr>
          <w:b/>
          <w:bCs/>
          <w:rtl/>
        </w:rPr>
        <w:t xml:space="preserve"> </w:t>
      </w:r>
      <w:r w:rsidRPr="00C4569E">
        <w:rPr>
          <w:rFonts w:hint="eastAsia"/>
          <w:b/>
          <w:bCs/>
          <w:rtl/>
        </w:rPr>
        <w:t>הקבוצה</w:t>
      </w:r>
      <w:r w:rsidRPr="00C4569E">
        <w:rPr>
          <w:b/>
          <w:bCs/>
          <w:rtl/>
        </w:rPr>
        <w:t xml:space="preserve"> </w:t>
      </w:r>
      <w:r w:rsidRPr="00C4569E">
        <w:rPr>
          <w:rFonts w:hint="eastAsia"/>
          <w:b/>
          <w:bCs/>
          <w:rtl/>
        </w:rPr>
        <w:t>בשמם</w:t>
      </w:r>
      <w:r w:rsidRPr="00C4569E">
        <w:rPr>
          <w:b/>
          <w:bCs/>
          <w:rtl/>
        </w:rPr>
        <w:t xml:space="preserve"> </w:t>
      </w:r>
      <w:r w:rsidRPr="00C4569E">
        <w:rPr>
          <w:rFonts w:hint="eastAsia"/>
          <w:b/>
          <w:bCs/>
          <w:rtl/>
        </w:rPr>
        <w:t>נוהלה</w:t>
      </w:r>
      <w:r w:rsidRPr="00C4569E">
        <w:rPr>
          <w:b/>
          <w:bCs/>
          <w:rtl/>
        </w:rPr>
        <w:t xml:space="preserve"> </w:t>
      </w:r>
      <w:r w:rsidRPr="00C4569E">
        <w:rPr>
          <w:rFonts w:hint="eastAsia"/>
          <w:b/>
          <w:bCs/>
          <w:rtl/>
        </w:rPr>
        <w:t>התובענה</w:t>
      </w:r>
      <w:r w:rsidRPr="00C4569E">
        <w:rPr>
          <w:b/>
          <w:bCs/>
          <w:rtl/>
        </w:rPr>
        <w:t xml:space="preserve"> </w:t>
      </w:r>
      <w:r w:rsidRPr="00C4569E">
        <w:rPr>
          <w:rFonts w:hint="eastAsia"/>
          <w:b/>
          <w:bCs/>
          <w:rtl/>
        </w:rPr>
        <w:t>הייצוגית</w:t>
      </w:r>
      <w:r w:rsidRPr="00C4569E">
        <w:rPr>
          <w:b/>
          <w:bCs/>
          <w:rtl/>
        </w:rPr>
        <w:t xml:space="preserve">, </w:t>
      </w:r>
      <w:r w:rsidRPr="00C4569E">
        <w:rPr>
          <w:rFonts w:hint="eastAsia"/>
          <w:b/>
          <w:bCs/>
          <w:rtl/>
        </w:rPr>
        <w:t>הדבר</w:t>
      </w:r>
      <w:r w:rsidRPr="00C4569E">
        <w:rPr>
          <w:rFonts w:hint="cs"/>
          <w:b/>
          <w:bCs/>
          <w:rtl/>
        </w:rPr>
        <w:t xml:space="preserve"> מהווה</w:t>
      </w:r>
      <w:r w:rsidRPr="00C4569E">
        <w:rPr>
          <w:b/>
          <w:bCs/>
          <w:rtl/>
        </w:rPr>
        <w:t xml:space="preserve"> </w:t>
      </w:r>
      <w:r w:rsidRPr="00C4569E">
        <w:rPr>
          <w:rFonts w:hint="eastAsia"/>
          <w:b/>
          <w:bCs/>
          <w:rtl/>
        </w:rPr>
        <w:t>טעם</w:t>
      </w:r>
      <w:r w:rsidRPr="00C4569E">
        <w:rPr>
          <w:b/>
          <w:bCs/>
          <w:rtl/>
        </w:rPr>
        <w:t xml:space="preserve"> </w:t>
      </w:r>
      <w:r w:rsidRPr="00C4569E">
        <w:rPr>
          <w:rFonts w:hint="eastAsia"/>
          <w:b/>
          <w:bCs/>
          <w:rtl/>
        </w:rPr>
        <w:t>טוב</w:t>
      </w:r>
      <w:r w:rsidRPr="00C4569E">
        <w:rPr>
          <w:b/>
          <w:bCs/>
          <w:rtl/>
        </w:rPr>
        <w:t xml:space="preserve"> </w:t>
      </w:r>
      <w:r w:rsidRPr="00C4569E">
        <w:rPr>
          <w:rFonts w:hint="eastAsia"/>
          <w:b/>
          <w:bCs/>
          <w:rtl/>
        </w:rPr>
        <w:t>שלא</w:t>
      </w:r>
      <w:r w:rsidRPr="00C4569E">
        <w:rPr>
          <w:b/>
          <w:bCs/>
          <w:rtl/>
        </w:rPr>
        <w:t xml:space="preserve"> </w:t>
      </w:r>
      <w:r w:rsidRPr="00C4569E">
        <w:rPr>
          <w:rFonts w:hint="eastAsia"/>
          <w:b/>
          <w:bCs/>
          <w:rtl/>
        </w:rPr>
        <w:t>לאשר</w:t>
      </w:r>
      <w:r w:rsidRPr="00C4569E">
        <w:rPr>
          <w:b/>
          <w:bCs/>
          <w:rtl/>
        </w:rPr>
        <w:t xml:space="preserve"> </w:t>
      </w:r>
      <w:r w:rsidRPr="00C4569E">
        <w:rPr>
          <w:rFonts w:hint="eastAsia"/>
          <w:b/>
          <w:bCs/>
          <w:rtl/>
        </w:rPr>
        <w:t>את</w:t>
      </w:r>
      <w:r w:rsidRPr="00C4569E">
        <w:rPr>
          <w:b/>
          <w:bCs/>
          <w:rtl/>
        </w:rPr>
        <w:t xml:space="preserve"> </w:t>
      </w:r>
      <w:r w:rsidRPr="00C4569E">
        <w:rPr>
          <w:rFonts w:hint="eastAsia"/>
          <w:b/>
          <w:bCs/>
          <w:rtl/>
        </w:rPr>
        <w:t>התובענה</w:t>
      </w:r>
      <w:r w:rsidRPr="00C4569E">
        <w:rPr>
          <w:b/>
          <w:bCs/>
          <w:rtl/>
        </w:rPr>
        <w:t xml:space="preserve"> </w:t>
      </w:r>
      <w:r w:rsidRPr="00C4569E">
        <w:rPr>
          <w:rFonts w:hint="eastAsia"/>
          <w:b/>
          <w:bCs/>
          <w:rtl/>
        </w:rPr>
        <w:t>הייצוגית</w:t>
      </w:r>
      <w:r w:rsidRPr="00C4569E">
        <w:rPr>
          <w:b/>
          <w:bCs/>
          <w:rtl/>
        </w:rPr>
        <w:t xml:space="preserve">. </w:t>
      </w:r>
    </w:p>
    <w:p w:rsidR="000118BE" w:rsidRPr="00331021" w:rsidRDefault="000118BE" w:rsidP="00A8553B">
      <w:pPr>
        <w:tabs>
          <w:tab w:val="left" w:pos="-316"/>
          <w:tab w:val="left" w:pos="0"/>
          <w:tab w:val="num" w:pos="44"/>
        </w:tabs>
        <w:bidi/>
        <w:spacing w:line="360" w:lineRule="auto"/>
        <w:ind w:left="44"/>
        <w:jc w:val="both"/>
        <w:rPr>
          <w:b/>
          <w:bCs/>
        </w:rPr>
      </w:pPr>
      <w:r w:rsidRPr="00331021">
        <w:rPr>
          <w:rFonts w:hint="cs"/>
          <w:b/>
          <w:bCs/>
          <w:rtl/>
        </w:rPr>
        <w:t xml:space="preserve">הוטעם כי </w:t>
      </w:r>
      <w:r w:rsidRPr="00331021">
        <w:rPr>
          <w:rFonts w:hint="eastAsia"/>
          <w:b/>
          <w:bCs/>
          <w:rtl/>
        </w:rPr>
        <w:t>אין</w:t>
      </w:r>
      <w:r w:rsidRPr="00331021">
        <w:rPr>
          <w:b/>
          <w:bCs/>
          <w:rtl/>
        </w:rPr>
        <w:t xml:space="preserve"> </w:t>
      </w:r>
      <w:r w:rsidRPr="00331021">
        <w:rPr>
          <w:rFonts w:hint="eastAsia"/>
          <w:b/>
          <w:bCs/>
          <w:rtl/>
        </w:rPr>
        <w:t>לפרש</w:t>
      </w:r>
      <w:r w:rsidRPr="00331021">
        <w:rPr>
          <w:b/>
          <w:bCs/>
          <w:rtl/>
        </w:rPr>
        <w:t xml:space="preserve"> </w:t>
      </w:r>
      <w:r w:rsidRPr="00331021">
        <w:rPr>
          <w:rFonts w:hint="eastAsia"/>
          <w:b/>
          <w:bCs/>
          <w:rtl/>
        </w:rPr>
        <w:t>את</w:t>
      </w:r>
      <w:r w:rsidRPr="00331021">
        <w:rPr>
          <w:b/>
          <w:bCs/>
          <w:rtl/>
        </w:rPr>
        <w:t xml:space="preserve"> </w:t>
      </w:r>
      <w:r w:rsidRPr="00331021">
        <w:rPr>
          <w:rFonts w:hint="eastAsia"/>
          <w:b/>
          <w:bCs/>
          <w:rtl/>
        </w:rPr>
        <w:t>דחיית</w:t>
      </w:r>
      <w:r w:rsidRPr="00331021">
        <w:rPr>
          <w:b/>
          <w:bCs/>
          <w:rtl/>
        </w:rPr>
        <w:t xml:space="preserve"> </w:t>
      </w:r>
      <w:r w:rsidRPr="00331021">
        <w:rPr>
          <w:rFonts w:hint="eastAsia"/>
          <w:b/>
          <w:bCs/>
          <w:rtl/>
        </w:rPr>
        <w:t>הבקשה</w:t>
      </w:r>
      <w:r w:rsidRPr="00331021">
        <w:rPr>
          <w:b/>
          <w:bCs/>
          <w:rtl/>
        </w:rPr>
        <w:t xml:space="preserve"> </w:t>
      </w:r>
      <w:r w:rsidRPr="00331021">
        <w:rPr>
          <w:rFonts w:hint="eastAsia"/>
          <w:b/>
          <w:bCs/>
          <w:rtl/>
        </w:rPr>
        <w:t>לאישור</w:t>
      </w:r>
      <w:r w:rsidRPr="00331021">
        <w:rPr>
          <w:b/>
          <w:bCs/>
          <w:rtl/>
        </w:rPr>
        <w:t xml:space="preserve"> </w:t>
      </w:r>
      <w:r w:rsidRPr="00331021">
        <w:rPr>
          <w:rFonts w:hint="eastAsia"/>
          <w:b/>
          <w:bCs/>
          <w:rtl/>
        </w:rPr>
        <w:t>התובענה</w:t>
      </w:r>
      <w:r w:rsidRPr="00331021">
        <w:rPr>
          <w:b/>
          <w:bCs/>
          <w:rtl/>
        </w:rPr>
        <w:t xml:space="preserve"> </w:t>
      </w:r>
      <w:r w:rsidRPr="00331021">
        <w:rPr>
          <w:rFonts w:hint="eastAsia"/>
          <w:b/>
          <w:bCs/>
          <w:rtl/>
        </w:rPr>
        <w:t>הייצוגית</w:t>
      </w:r>
      <w:r w:rsidRPr="00331021">
        <w:rPr>
          <w:b/>
          <w:bCs/>
          <w:rtl/>
        </w:rPr>
        <w:t xml:space="preserve"> </w:t>
      </w:r>
      <w:r w:rsidRPr="00331021">
        <w:rPr>
          <w:rFonts w:hint="eastAsia"/>
          <w:b/>
          <w:bCs/>
          <w:rtl/>
        </w:rPr>
        <w:t>כ</w:t>
      </w:r>
      <w:r w:rsidRPr="00331021">
        <w:rPr>
          <w:b/>
          <w:bCs/>
          <w:rtl/>
        </w:rPr>
        <w:t>"</w:t>
      </w:r>
      <w:r w:rsidRPr="00331021">
        <w:rPr>
          <w:rFonts w:hint="eastAsia"/>
          <w:b/>
          <w:bCs/>
          <w:rtl/>
        </w:rPr>
        <w:t>חותמת</w:t>
      </w:r>
      <w:r w:rsidRPr="00331021">
        <w:rPr>
          <w:b/>
          <w:bCs/>
          <w:rtl/>
        </w:rPr>
        <w:t xml:space="preserve"> </w:t>
      </w:r>
      <w:r w:rsidRPr="00331021">
        <w:rPr>
          <w:rFonts w:hint="eastAsia"/>
          <w:b/>
          <w:bCs/>
          <w:rtl/>
        </w:rPr>
        <w:t>הכשר</w:t>
      </w:r>
      <w:r w:rsidRPr="00331021">
        <w:rPr>
          <w:b/>
          <w:bCs/>
          <w:rtl/>
        </w:rPr>
        <w:t xml:space="preserve">" </w:t>
      </w:r>
      <w:r w:rsidRPr="00331021">
        <w:rPr>
          <w:rFonts w:hint="eastAsia"/>
          <w:b/>
          <w:bCs/>
          <w:rtl/>
        </w:rPr>
        <w:t>לתנאי</w:t>
      </w:r>
      <w:r w:rsidRPr="00331021">
        <w:rPr>
          <w:b/>
          <w:bCs/>
          <w:rtl/>
        </w:rPr>
        <w:t xml:space="preserve"> </w:t>
      </w:r>
      <w:r w:rsidRPr="00331021">
        <w:rPr>
          <w:rFonts w:hint="eastAsia"/>
          <w:b/>
          <w:bCs/>
          <w:rtl/>
        </w:rPr>
        <w:t>העסקת</w:t>
      </w:r>
      <w:r w:rsidRPr="00331021">
        <w:rPr>
          <w:b/>
          <w:bCs/>
          <w:rtl/>
        </w:rPr>
        <w:t xml:space="preserve"> </w:t>
      </w:r>
      <w:r w:rsidRPr="00331021">
        <w:rPr>
          <w:rFonts w:hint="eastAsia"/>
          <w:b/>
          <w:bCs/>
          <w:rtl/>
        </w:rPr>
        <w:t>ניצבים</w:t>
      </w:r>
      <w:r w:rsidRPr="00331021">
        <w:rPr>
          <w:b/>
          <w:bCs/>
          <w:rtl/>
        </w:rPr>
        <w:t xml:space="preserve"> </w:t>
      </w:r>
      <w:r w:rsidRPr="00331021">
        <w:rPr>
          <w:rFonts w:hint="eastAsia"/>
          <w:b/>
          <w:bCs/>
          <w:rtl/>
        </w:rPr>
        <w:t>בישראל</w:t>
      </w:r>
      <w:r w:rsidRPr="00331021">
        <w:rPr>
          <w:b/>
          <w:bCs/>
          <w:rtl/>
        </w:rPr>
        <w:t xml:space="preserve"> </w:t>
      </w:r>
      <w:r w:rsidRPr="00331021">
        <w:rPr>
          <w:rFonts w:hint="eastAsia"/>
          <w:b/>
          <w:bCs/>
          <w:rtl/>
        </w:rPr>
        <w:t>בכלל</w:t>
      </w:r>
      <w:r w:rsidRPr="00331021">
        <w:rPr>
          <w:b/>
          <w:bCs/>
          <w:rtl/>
        </w:rPr>
        <w:t xml:space="preserve">, </w:t>
      </w:r>
      <w:r w:rsidRPr="00331021">
        <w:rPr>
          <w:rFonts w:hint="eastAsia"/>
          <w:b/>
          <w:bCs/>
          <w:rtl/>
        </w:rPr>
        <w:t>ועל</w:t>
      </w:r>
      <w:r w:rsidRPr="00331021">
        <w:rPr>
          <w:b/>
          <w:bCs/>
          <w:rtl/>
        </w:rPr>
        <w:t xml:space="preserve"> </w:t>
      </w:r>
      <w:r w:rsidRPr="00331021">
        <w:rPr>
          <w:rFonts w:hint="eastAsia"/>
          <w:b/>
          <w:bCs/>
          <w:rtl/>
        </w:rPr>
        <w:t>ידי</w:t>
      </w:r>
      <w:r w:rsidRPr="00331021">
        <w:rPr>
          <w:b/>
          <w:bCs/>
          <w:rtl/>
        </w:rPr>
        <w:t xml:space="preserve"> </w:t>
      </w:r>
      <w:r w:rsidRPr="00331021">
        <w:rPr>
          <w:rFonts w:hint="cs"/>
          <w:b/>
          <w:bCs/>
          <w:rtl/>
        </w:rPr>
        <w:t>סוכנות הניצבים הנתבעת</w:t>
      </w:r>
      <w:r>
        <w:rPr>
          <w:rFonts w:hint="cs"/>
          <w:b/>
          <w:bCs/>
          <w:rtl/>
        </w:rPr>
        <w:t xml:space="preserve"> בפרט</w:t>
      </w:r>
      <w:r w:rsidRPr="00331021">
        <w:rPr>
          <w:rFonts w:hint="cs"/>
          <w:b/>
          <w:bCs/>
          <w:rtl/>
        </w:rPr>
        <w:t>. כן נקבע כי על אף שהב</w:t>
      </w:r>
      <w:r w:rsidRPr="00331021">
        <w:rPr>
          <w:rFonts w:hint="eastAsia"/>
          <w:b/>
          <w:bCs/>
          <w:rtl/>
        </w:rPr>
        <w:t>קשה</w:t>
      </w:r>
      <w:r w:rsidRPr="00331021">
        <w:rPr>
          <w:b/>
          <w:bCs/>
          <w:rtl/>
        </w:rPr>
        <w:t xml:space="preserve"> </w:t>
      </w:r>
      <w:r w:rsidRPr="00331021">
        <w:rPr>
          <w:rFonts w:hint="eastAsia"/>
          <w:b/>
          <w:bCs/>
          <w:rtl/>
        </w:rPr>
        <w:t>לאישור</w:t>
      </w:r>
      <w:r w:rsidRPr="00331021">
        <w:rPr>
          <w:b/>
          <w:bCs/>
          <w:rtl/>
        </w:rPr>
        <w:t xml:space="preserve"> </w:t>
      </w:r>
      <w:r w:rsidRPr="00331021">
        <w:rPr>
          <w:rFonts w:hint="eastAsia"/>
          <w:b/>
          <w:bCs/>
          <w:rtl/>
        </w:rPr>
        <w:t>התובענה</w:t>
      </w:r>
      <w:r w:rsidRPr="00331021">
        <w:rPr>
          <w:b/>
          <w:bCs/>
          <w:rtl/>
        </w:rPr>
        <w:t xml:space="preserve"> </w:t>
      </w:r>
      <w:r w:rsidRPr="00331021">
        <w:rPr>
          <w:rFonts w:hint="eastAsia"/>
          <w:b/>
          <w:bCs/>
          <w:rtl/>
        </w:rPr>
        <w:t>כייצוגית</w:t>
      </w:r>
      <w:r w:rsidRPr="00331021">
        <w:rPr>
          <w:b/>
          <w:bCs/>
          <w:rtl/>
        </w:rPr>
        <w:t xml:space="preserve"> </w:t>
      </w:r>
      <w:r w:rsidRPr="00331021">
        <w:rPr>
          <w:rFonts w:hint="eastAsia"/>
          <w:b/>
          <w:bCs/>
          <w:rtl/>
        </w:rPr>
        <w:t>נדחית</w:t>
      </w:r>
      <w:r w:rsidRPr="00331021">
        <w:rPr>
          <w:rFonts w:hint="cs"/>
          <w:b/>
          <w:bCs/>
          <w:rtl/>
        </w:rPr>
        <w:t xml:space="preserve">, </w:t>
      </w:r>
      <w:r w:rsidRPr="00331021">
        <w:rPr>
          <w:rFonts w:hint="eastAsia"/>
          <w:b/>
          <w:bCs/>
          <w:rtl/>
        </w:rPr>
        <w:t>בנסיבותיו</w:t>
      </w:r>
      <w:r w:rsidRPr="00331021">
        <w:rPr>
          <w:b/>
          <w:bCs/>
          <w:rtl/>
        </w:rPr>
        <w:t xml:space="preserve"> </w:t>
      </w:r>
      <w:r w:rsidRPr="00331021">
        <w:rPr>
          <w:rFonts w:hint="eastAsia"/>
          <w:b/>
          <w:bCs/>
          <w:rtl/>
        </w:rPr>
        <w:t>המיוחדות</w:t>
      </w:r>
      <w:r w:rsidRPr="00331021">
        <w:rPr>
          <w:b/>
          <w:bCs/>
          <w:rtl/>
        </w:rPr>
        <w:t xml:space="preserve"> </w:t>
      </w:r>
      <w:r w:rsidRPr="00331021">
        <w:rPr>
          <w:rFonts w:hint="eastAsia"/>
          <w:b/>
          <w:bCs/>
          <w:rtl/>
        </w:rPr>
        <w:t>של</w:t>
      </w:r>
      <w:r w:rsidRPr="00331021">
        <w:rPr>
          <w:b/>
          <w:bCs/>
          <w:rtl/>
        </w:rPr>
        <w:t xml:space="preserve"> </w:t>
      </w:r>
      <w:r w:rsidRPr="00331021">
        <w:rPr>
          <w:rFonts w:hint="eastAsia"/>
          <w:b/>
          <w:bCs/>
          <w:rtl/>
        </w:rPr>
        <w:t>המקרה</w:t>
      </w:r>
      <w:r w:rsidRPr="00331021">
        <w:rPr>
          <w:b/>
          <w:bCs/>
          <w:rtl/>
        </w:rPr>
        <w:t xml:space="preserve">, </w:t>
      </w:r>
      <w:r w:rsidRPr="00331021">
        <w:rPr>
          <w:rFonts w:hint="cs"/>
          <w:b/>
          <w:bCs/>
          <w:rtl/>
        </w:rPr>
        <w:t xml:space="preserve">נקבע </w:t>
      </w:r>
      <w:r w:rsidRPr="00331021">
        <w:rPr>
          <w:rFonts w:hint="eastAsia"/>
          <w:b/>
          <w:bCs/>
          <w:rtl/>
        </w:rPr>
        <w:t>שהבקשה</w:t>
      </w:r>
      <w:r w:rsidRPr="00331021">
        <w:rPr>
          <w:b/>
          <w:bCs/>
          <w:rtl/>
        </w:rPr>
        <w:t xml:space="preserve"> </w:t>
      </w:r>
      <w:r w:rsidRPr="00331021">
        <w:rPr>
          <w:rFonts w:hint="eastAsia"/>
          <w:b/>
          <w:bCs/>
          <w:rtl/>
        </w:rPr>
        <w:t>לאישור</w:t>
      </w:r>
      <w:r w:rsidRPr="00331021">
        <w:rPr>
          <w:b/>
          <w:bCs/>
          <w:rtl/>
        </w:rPr>
        <w:t xml:space="preserve"> </w:t>
      </w:r>
      <w:r w:rsidRPr="00331021">
        <w:rPr>
          <w:rFonts w:hint="eastAsia"/>
          <w:b/>
          <w:bCs/>
          <w:rtl/>
        </w:rPr>
        <w:t>עוררה</w:t>
      </w:r>
      <w:r w:rsidRPr="00331021">
        <w:rPr>
          <w:b/>
          <w:bCs/>
          <w:rtl/>
        </w:rPr>
        <w:t xml:space="preserve"> </w:t>
      </w:r>
      <w:r w:rsidRPr="00331021">
        <w:rPr>
          <w:rFonts w:hint="eastAsia"/>
          <w:b/>
          <w:bCs/>
          <w:rtl/>
        </w:rPr>
        <w:t>שאלות</w:t>
      </w:r>
      <w:r w:rsidRPr="00331021">
        <w:rPr>
          <w:b/>
          <w:bCs/>
          <w:rtl/>
        </w:rPr>
        <w:t xml:space="preserve"> </w:t>
      </w:r>
      <w:r w:rsidRPr="00331021">
        <w:rPr>
          <w:rFonts w:hint="eastAsia"/>
          <w:b/>
          <w:bCs/>
          <w:rtl/>
        </w:rPr>
        <w:t>בעלות</w:t>
      </w:r>
      <w:r w:rsidRPr="00331021">
        <w:rPr>
          <w:b/>
          <w:bCs/>
          <w:rtl/>
        </w:rPr>
        <w:t xml:space="preserve"> </w:t>
      </w:r>
      <w:r w:rsidRPr="00331021">
        <w:rPr>
          <w:rFonts w:hint="eastAsia"/>
          <w:b/>
          <w:bCs/>
          <w:rtl/>
        </w:rPr>
        <w:t>חשיבות</w:t>
      </w:r>
      <w:r w:rsidRPr="00331021">
        <w:rPr>
          <w:b/>
          <w:bCs/>
          <w:rtl/>
        </w:rPr>
        <w:t xml:space="preserve"> </w:t>
      </w:r>
      <w:r w:rsidRPr="00331021">
        <w:rPr>
          <w:rFonts w:hint="eastAsia"/>
          <w:b/>
          <w:bCs/>
          <w:rtl/>
        </w:rPr>
        <w:t>ציבורית</w:t>
      </w:r>
      <w:r>
        <w:rPr>
          <w:rFonts w:hint="cs"/>
          <w:b/>
          <w:bCs/>
          <w:rtl/>
        </w:rPr>
        <w:t>.</w:t>
      </w:r>
      <w:r w:rsidRPr="00331021">
        <w:rPr>
          <w:rFonts w:hint="cs"/>
          <w:b/>
          <w:bCs/>
          <w:rtl/>
        </w:rPr>
        <w:t xml:space="preserve"> </w:t>
      </w:r>
      <w:r>
        <w:rPr>
          <w:rFonts w:hint="cs"/>
          <w:b/>
          <w:bCs/>
          <w:rtl/>
        </w:rPr>
        <w:t>לכן</w:t>
      </w:r>
      <w:r w:rsidRPr="00331021">
        <w:rPr>
          <w:b/>
          <w:bCs/>
          <w:rtl/>
        </w:rPr>
        <w:t xml:space="preserve"> </w:t>
      </w:r>
      <w:r w:rsidRPr="00331021">
        <w:rPr>
          <w:rFonts w:hint="eastAsia"/>
          <w:b/>
          <w:bCs/>
          <w:rtl/>
        </w:rPr>
        <w:t>שלא</w:t>
      </w:r>
      <w:r w:rsidRPr="00331021">
        <w:rPr>
          <w:b/>
          <w:bCs/>
          <w:rtl/>
        </w:rPr>
        <w:t xml:space="preserve"> </w:t>
      </w:r>
      <w:r w:rsidRPr="00331021">
        <w:rPr>
          <w:rFonts w:hint="eastAsia"/>
          <w:b/>
          <w:bCs/>
          <w:rtl/>
        </w:rPr>
        <w:t>כמקובל</w:t>
      </w:r>
      <w:r w:rsidRPr="00331021">
        <w:rPr>
          <w:rFonts w:hint="cs"/>
          <w:b/>
          <w:bCs/>
          <w:rtl/>
        </w:rPr>
        <w:t xml:space="preserve"> כאשר בקשות לאישור תובענות ייצוגיות נדחות</w:t>
      </w:r>
      <w:r w:rsidRPr="00331021">
        <w:rPr>
          <w:b/>
          <w:bCs/>
          <w:rtl/>
        </w:rPr>
        <w:t xml:space="preserve">, </w:t>
      </w:r>
      <w:r w:rsidRPr="00331021">
        <w:rPr>
          <w:rFonts w:hint="cs"/>
          <w:b/>
          <w:bCs/>
          <w:rtl/>
        </w:rPr>
        <w:t xml:space="preserve">נקבע כי </w:t>
      </w:r>
      <w:r w:rsidRPr="00331021">
        <w:rPr>
          <w:rFonts w:hint="eastAsia"/>
          <w:b/>
          <w:bCs/>
          <w:rtl/>
        </w:rPr>
        <w:t>לא</w:t>
      </w:r>
      <w:r w:rsidRPr="00331021">
        <w:rPr>
          <w:b/>
          <w:bCs/>
          <w:rtl/>
        </w:rPr>
        <w:t xml:space="preserve"> </w:t>
      </w:r>
      <w:r w:rsidRPr="00331021">
        <w:rPr>
          <w:rFonts w:hint="cs"/>
          <w:b/>
          <w:bCs/>
          <w:rtl/>
        </w:rPr>
        <w:t xml:space="preserve">יינתן </w:t>
      </w:r>
      <w:r w:rsidRPr="00331021">
        <w:rPr>
          <w:rFonts w:hint="eastAsia"/>
          <w:b/>
          <w:bCs/>
          <w:rtl/>
        </w:rPr>
        <w:t>צו</w:t>
      </w:r>
      <w:r w:rsidRPr="00331021">
        <w:rPr>
          <w:b/>
          <w:bCs/>
          <w:rtl/>
        </w:rPr>
        <w:t xml:space="preserve"> </w:t>
      </w:r>
      <w:r w:rsidRPr="00331021">
        <w:rPr>
          <w:rFonts w:hint="eastAsia"/>
          <w:b/>
          <w:bCs/>
          <w:rtl/>
        </w:rPr>
        <w:t>להוצאות</w:t>
      </w:r>
      <w:r w:rsidRPr="00331021">
        <w:rPr>
          <w:b/>
          <w:bCs/>
          <w:rtl/>
        </w:rPr>
        <w:t xml:space="preserve"> </w:t>
      </w:r>
      <w:r w:rsidRPr="00331021">
        <w:rPr>
          <w:rFonts w:hint="eastAsia"/>
          <w:b/>
          <w:bCs/>
          <w:rtl/>
        </w:rPr>
        <w:t>לטובת</w:t>
      </w:r>
      <w:r w:rsidRPr="00331021">
        <w:rPr>
          <w:b/>
          <w:bCs/>
          <w:rtl/>
        </w:rPr>
        <w:t xml:space="preserve"> </w:t>
      </w:r>
      <w:r>
        <w:rPr>
          <w:rFonts w:hint="cs"/>
          <w:b/>
          <w:bCs/>
          <w:rtl/>
        </w:rPr>
        <w:t xml:space="preserve">הנתבעת </w:t>
      </w:r>
      <w:r w:rsidRPr="00331021">
        <w:rPr>
          <w:rFonts w:hint="cs"/>
          <w:b/>
          <w:bCs/>
          <w:rtl/>
        </w:rPr>
        <w:t>סוכנות הנציבים</w:t>
      </w:r>
      <w:r w:rsidRPr="00331021">
        <w:rPr>
          <w:b/>
          <w:bCs/>
          <w:rtl/>
        </w:rPr>
        <w:t xml:space="preserve"> </w:t>
      </w:r>
      <w:r w:rsidRPr="00331021">
        <w:rPr>
          <w:rFonts w:hint="cs"/>
          <w:b/>
          <w:bCs/>
          <w:rtl/>
        </w:rPr>
        <w:t>ו</w:t>
      </w:r>
      <w:r w:rsidRPr="00331021">
        <w:rPr>
          <w:rFonts w:hint="eastAsia"/>
          <w:b/>
          <w:bCs/>
          <w:rtl/>
        </w:rPr>
        <w:t>כל</w:t>
      </w:r>
      <w:r w:rsidRPr="00331021">
        <w:rPr>
          <w:b/>
          <w:bCs/>
          <w:rtl/>
        </w:rPr>
        <w:t xml:space="preserve"> </w:t>
      </w:r>
      <w:r w:rsidRPr="00331021">
        <w:rPr>
          <w:rFonts w:hint="eastAsia"/>
          <w:b/>
          <w:bCs/>
          <w:rtl/>
        </w:rPr>
        <w:t>צד</w:t>
      </w:r>
      <w:r w:rsidRPr="00331021">
        <w:rPr>
          <w:b/>
          <w:bCs/>
          <w:rtl/>
        </w:rPr>
        <w:t xml:space="preserve"> </w:t>
      </w:r>
      <w:r w:rsidRPr="00331021">
        <w:rPr>
          <w:rFonts w:hint="eastAsia"/>
          <w:b/>
          <w:bCs/>
          <w:rtl/>
        </w:rPr>
        <w:t>יישא</w:t>
      </w:r>
      <w:r w:rsidRPr="00331021">
        <w:rPr>
          <w:b/>
          <w:bCs/>
          <w:rtl/>
        </w:rPr>
        <w:t xml:space="preserve"> </w:t>
      </w:r>
      <w:r w:rsidRPr="00331021">
        <w:rPr>
          <w:rFonts w:hint="eastAsia"/>
          <w:b/>
          <w:bCs/>
          <w:rtl/>
        </w:rPr>
        <w:t>אם</w:t>
      </w:r>
      <w:r w:rsidRPr="00331021">
        <w:rPr>
          <w:b/>
          <w:bCs/>
          <w:rtl/>
        </w:rPr>
        <w:t xml:space="preserve"> </w:t>
      </w:r>
      <w:r w:rsidRPr="00331021">
        <w:rPr>
          <w:rFonts w:hint="eastAsia"/>
          <w:b/>
          <w:bCs/>
          <w:rtl/>
        </w:rPr>
        <w:t>כן</w:t>
      </w:r>
      <w:r w:rsidRPr="00331021">
        <w:rPr>
          <w:b/>
          <w:bCs/>
          <w:rtl/>
        </w:rPr>
        <w:t xml:space="preserve"> </w:t>
      </w:r>
      <w:r w:rsidRPr="00331021">
        <w:rPr>
          <w:rFonts w:hint="eastAsia"/>
          <w:b/>
          <w:bCs/>
          <w:rtl/>
        </w:rPr>
        <w:t>בהוצאותיו</w:t>
      </w:r>
      <w:r w:rsidRPr="00331021">
        <w:rPr>
          <w:b/>
          <w:bCs/>
          <w:rtl/>
        </w:rPr>
        <w:t xml:space="preserve">. </w:t>
      </w:r>
    </w:p>
    <w:p w:rsidR="000118BE" w:rsidRPr="00875F32" w:rsidRDefault="000118BE" w:rsidP="00A8553B">
      <w:pPr>
        <w:tabs>
          <w:tab w:val="left" w:pos="-316"/>
          <w:tab w:val="left" w:pos="0"/>
          <w:tab w:val="num" w:pos="44"/>
        </w:tabs>
        <w:bidi/>
        <w:spacing w:line="360" w:lineRule="auto"/>
        <w:ind w:left="44"/>
        <w:jc w:val="both"/>
        <w:rPr>
          <w:sz w:val="22"/>
          <w:szCs w:val="22"/>
          <w:rtl/>
        </w:rPr>
      </w:pPr>
      <w:r>
        <w:rPr>
          <w:rFonts w:ascii="David" w:hAnsi="David"/>
          <w:color w:val="000000"/>
          <w:sz w:val="22"/>
          <w:szCs w:val="22"/>
          <w:rtl/>
        </w:rPr>
        <w:t>דמש (ת"א) 1555-10</w:t>
      </w:r>
      <w:r>
        <w:rPr>
          <w:rFonts w:hint="cs"/>
          <w:color w:val="FF0000"/>
          <w:sz w:val="22"/>
          <w:szCs w:val="22"/>
          <w:rtl/>
        </w:rPr>
        <w:t xml:space="preserve"> </w:t>
      </w:r>
      <w:r w:rsidRPr="004A3CD9">
        <w:rPr>
          <w:color w:val="FF0000"/>
          <w:sz w:val="22"/>
          <w:szCs w:val="22"/>
        </w:rPr>
        <w:t>●</w:t>
      </w:r>
      <w:r w:rsidRPr="004A3CD9">
        <w:rPr>
          <w:rFonts w:hint="cs"/>
          <w:color w:val="2B003A"/>
          <w:sz w:val="22"/>
          <w:szCs w:val="22"/>
          <w:rtl/>
        </w:rPr>
        <w:t xml:space="preserve"> </w:t>
      </w:r>
      <w:r w:rsidRPr="00721604">
        <w:rPr>
          <w:rFonts w:ascii="David" w:hAnsi="David"/>
          <w:b/>
          <w:bCs/>
          <w:color w:val="000000"/>
          <w:sz w:val="22"/>
          <w:szCs w:val="22"/>
          <w:rtl/>
        </w:rPr>
        <w:t>עמית זילברג נ' במרום הפקות בע"מ</w:t>
      </w:r>
      <w:r w:rsidRPr="002D18AF">
        <w:rPr>
          <w:rFonts w:ascii="David" w:hAnsi="David" w:hint="cs"/>
          <w:color w:val="000000"/>
          <w:sz w:val="22"/>
          <w:szCs w:val="22"/>
          <w:rtl/>
        </w:rPr>
        <w:t xml:space="preserve"> (</w:t>
      </w:r>
      <w:r>
        <w:rPr>
          <w:rFonts w:ascii="David" w:hAnsi="David" w:hint="cs"/>
          <w:color w:val="000000"/>
          <w:sz w:val="22"/>
          <w:szCs w:val="22"/>
          <w:rtl/>
        </w:rPr>
        <w:t>24.5.13</w:t>
      </w:r>
      <w:r w:rsidRPr="002D18AF">
        <w:rPr>
          <w:rFonts w:ascii="David" w:hAnsi="David" w:hint="cs"/>
          <w:color w:val="000000"/>
          <w:sz w:val="22"/>
          <w:szCs w:val="22"/>
          <w:rtl/>
        </w:rPr>
        <w:t xml:space="preserve">) </w:t>
      </w:r>
      <w:r w:rsidRPr="002D18AF">
        <w:rPr>
          <w:rFonts w:ascii="David" w:hAnsi="David"/>
          <w:color w:val="000000"/>
          <w:sz w:val="22"/>
          <w:szCs w:val="22"/>
        </w:rPr>
        <w:t xml:space="preserve"> </w:t>
      </w:r>
      <w:r w:rsidRPr="004A3CD9">
        <w:rPr>
          <w:color w:val="FF0000"/>
          <w:sz w:val="22"/>
          <w:szCs w:val="22"/>
        </w:rPr>
        <w:t>●</w:t>
      </w:r>
      <w:r w:rsidRPr="002D18AF">
        <w:rPr>
          <w:rFonts w:ascii="David" w:hAnsi="David" w:hint="cs"/>
          <w:color w:val="000000"/>
          <w:sz w:val="22"/>
          <w:szCs w:val="22"/>
          <w:rtl/>
        </w:rPr>
        <w:t>בפני כבוד</w:t>
      </w:r>
      <w:r>
        <w:rPr>
          <w:rFonts w:ascii="David" w:hAnsi="David" w:hint="cs"/>
          <w:color w:val="000000"/>
          <w:sz w:val="22"/>
          <w:szCs w:val="22"/>
          <w:rtl/>
        </w:rPr>
        <w:t xml:space="preserve"> אב"ד השופט דורי ספיבק, נ.ע מר דוד נס, נ.מ מר אהוד מטרסו</w:t>
      </w:r>
    </w:p>
    <w:p w:rsidR="000118BE" w:rsidRDefault="000118BE" w:rsidP="00A8553B">
      <w:pPr>
        <w:tabs>
          <w:tab w:val="left" w:pos="-316"/>
        </w:tabs>
        <w:bidi/>
        <w:spacing w:line="360" w:lineRule="auto"/>
        <w:ind w:left="26" w:right="-180"/>
        <w:jc w:val="both"/>
        <w:rPr>
          <w:rFonts w:ascii="Arial" w:hAnsi="Arial"/>
          <w:b/>
          <w:bCs/>
          <w:color w:val="008000"/>
          <w:sz w:val="28"/>
          <w:szCs w:val="28"/>
          <w:u w:val="single"/>
          <w:rtl/>
        </w:rPr>
      </w:pPr>
    </w:p>
    <w:p w:rsidR="004540FC" w:rsidRDefault="004540FC" w:rsidP="004540FC">
      <w:pPr>
        <w:tabs>
          <w:tab w:val="left" w:pos="-316"/>
        </w:tabs>
        <w:bidi/>
        <w:spacing w:line="360" w:lineRule="auto"/>
        <w:ind w:left="26" w:right="-180"/>
        <w:jc w:val="both"/>
        <w:rPr>
          <w:rFonts w:ascii="Arial" w:hAnsi="Arial"/>
          <w:b/>
          <w:bCs/>
          <w:color w:val="008000"/>
          <w:sz w:val="28"/>
          <w:szCs w:val="28"/>
          <w:u w:val="single"/>
          <w:rtl/>
        </w:rPr>
      </w:pPr>
    </w:p>
    <w:p w:rsidR="004540FC" w:rsidRDefault="004540FC" w:rsidP="004540FC">
      <w:pPr>
        <w:tabs>
          <w:tab w:val="left" w:pos="-316"/>
        </w:tabs>
        <w:bidi/>
        <w:spacing w:line="360" w:lineRule="auto"/>
        <w:ind w:left="26" w:right="-180"/>
        <w:jc w:val="both"/>
        <w:rPr>
          <w:rFonts w:ascii="Arial" w:hAnsi="Arial"/>
          <w:b/>
          <w:bCs/>
          <w:color w:val="008000"/>
          <w:sz w:val="28"/>
          <w:szCs w:val="28"/>
          <w:u w:val="single"/>
          <w:rtl/>
        </w:rPr>
      </w:pPr>
    </w:p>
    <w:p w:rsidR="004540FC" w:rsidRDefault="004540FC" w:rsidP="004540FC">
      <w:pPr>
        <w:tabs>
          <w:tab w:val="left" w:pos="-316"/>
        </w:tabs>
        <w:bidi/>
        <w:spacing w:line="360" w:lineRule="auto"/>
        <w:ind w:left="26" w:right="-180"/>
        <w:jc w:val="both"/>
        <w:rPr>
          <w:rFonts w:ascii="Arial" w:hAnsi="Arial"/>
          <w:b/>
          <w:bCs/>
          <w:color w:val="008000"/>
          <w:sz w:val="28"/>
          <w:szCs w:val="28"/>
          <w:u w:val="single"/>
          <w:rtl/>
        </w:rPr>
      </w:pPr>
    </w:p>
    <w:p w:rsidR="004540FC" w:rsidRDefault="004540FC" w:rsidP="004540FC">
      <w:pPr>
        <w:tabs>
          <w:tab w:val="left" w:pos="-316"/>
        </w:tabs>
        <w:bidi/>
        <w:spacing w:line="360" w:lineRule="auto"/>
        <w:ind w:left="26" w:right="-180"/>
        <w:jc w:val="both"/>
        <w:rPr>
          <w:rFonts w:ascii="Arial" w:hAnsi="Arial"/>
          <w:b/>
          <w:bCs/>
          <w:color w:val="008000"/>
          <w:sz w:val="28"/>
          <w:szCs w:val="28"/>
          <w:u w:val="single"/>
          <w:rtl/>
        </w:rPr>
      </w:pPr>
    </w:p>
    <w:p w:rsidR="004540FC" w:rsidRDefault="004540FC" w:rsidP="004540FC">
      <w:pPr>
        <w:tabs>
          <w:tab w:val="left" w:pos="-316"/>
        </w:tabs>
        <w:bidi/>
        <w:spacing w:line="360" w:lineRule="auto"/>
        <w:ind w:left="26" w:right="-180"/>
        <w:jc w:val="both"/>
        <w:rPr>
          <w:rFonts w:ascii="Arial" w:hAnsi="Arial"/>
          <w:b/>
          <w:bCs/>
          <w:color w:val="008000"/>
          <w:sz w:val="28"/>
          <w:szCs w:val="28"/>
          <w:u w:val="single"/>
          <w:rtl/>
        </w:rPr>
      </w:pPr>
    </w:p>
    <w:p w:rsidR="004540FC" w:rsidRDefault="004540FC" w:rsidP="004540FC">
      <w:pPr>
        <w:tabs>
          <w:tab w:val="left" w:pos="-316"/>
        </w:tabs>
        <w:bidi/>
        <w:spacing w:line="360" w:lineRule="auto"/>
        <w:ind w:left="26" w:right="-180"/>
        <w:jc w:val="both"/>
        <w:rPr>
          <w:rFonts w:ascii="Arial" w:hAnsi="Arial"/>
          <w:b/>
          <w:bCs/>
          <w:color w:val="008000"/>
          <w:sz w:val="28"/>
          <w:szCs w:val="28"/>
          <w:u w:val="single"/>
          <w:rtl/>
        </w:rPr>
      </w:pPr>
    </w:p>
    <w:p w:rsidR="004540FC" w:rsidRDefault="004540FC" w:rsidP="004540FC">
      <w:pPr>
        <w:tabs>
          <w:tab w:val="left" w:pos="-316"/>
        </w:tabs>
        <w:bidi/>
        <w:spacing w:line="360" w:lineRule="auto"/>
        <w:ind w:left="26" w:right="-180"/>
        <w:jc w:val="both"/>
        <w:rPr>
          <w:rFonts w:ascii="Arial" w:hAnsi="Arial"/>
          <w:b/>
          <w:bCs/>
          <w:color w:val="008000"/>
          <w:sz w:val="28"/>
          <w:szCs w:val="28"/>
          <w:u w:val="single"/>
          <w:rtl/>
        </w:rPr>
      </w:pPr>
    </w:p>
    <w:p w:rsidR="000118BE" w:rsidRDefault="000118BE" w:rsidP="00A8553B">
      <w:pPr>
        <w:numPr>
          <w:ilvl w:val="0"/>
          <w:numId w:val="7"/>
        </w:numPr>
        <w:bidi/>
        <w:spacing w:line="360" w:lineRule="auto"/>
        <w:jc w:val="both"/>
        <w:outlineLvl w:val="0"/>
        <w:rPr>
          <w:rFonts w:ascii="David" w:hAnsi="David"/>
          <w:b/>
          <w:bCs/>
          <w:color w:val="FF0000"/>
          <w:sz w:val="32"/>
          <w:szCs w:val="26"/>
          <w:u w:val="single"/>
        </w:rPr>
      </w:pPr>
      <w:bookmarkStart w:id="151" w:name="_Toc383530637"/>
      <w:bookmarkStart w:id="152" w:name="_Toc383587182"/>
      <w:bookmarkStart w:id="153" w:name="_Toc383587387"/>
      <w:bookmarkStart w:id="154" w:name="_Toc383587829"/>
      <w:r>
        <w:rPr>
          <w:rFonts w:ascii="David" w:hAnsi="David" w:hint="cs"/>
          <w:b/>
          <w:bCs/>
          <w:color w:val="FF0000"/>
          <w:sz w:val="32"/>
          <w:szCs w:val="26"/>
          <w:u w:val="single"/>
          <w:rtl/>
        </w:rPr>
        <w:lastRenderedPageBreak/>
        <w:t>עיכוב ביצוע פסק דין</w:t>
      </w:r>
      <w:bookmarkEnd w:id="151"/>
      <w:bookmarkEnd w:id="152"/>
      <w:bookmarkEnd w:id="153"/>
      <w:bookmarkEnd w:id="154"/>
    </w:p>
    <w:p w:rsidR="000118BE" w:rsidRDefault="000118BE" w:rsidP="00A8553B">
      <w:pPr>
        <w:bidi/>
        <w:spacing w:line="360" w:lineRule="auto"/>
        <w:ind w:left="360"/>
        <w:jc w:val="both"/>
        <w:outlineLvl w:val="0"/>
        <w:rPr>
          <w:rFonts w:ascii="David" w:hAnsi="David"/>
          <w:b/>
          <w:bCs/>
          <w:color w:val="FF0000"/>
          <w:sz w:val="32"/>
          <w:szCs w:val="26"/>
          <w:u w:val="single"/>
        </w:rPr>
      </w:pPr>
    </w:p>
    <w:p w:rsidR="000118BE" w:rsidRPr="00216A2C" w:rsidRDefault="000118BE" w:rsidP="00A8553B">
      <w:pPr>
        <w:numPr>
          <w:ilvl w:val="0"/>
          <w:numId w:val="31"/>
        </w:numPr>
        <w:tabs>
          <w:tab w:val="left" w:pos="70"/>
        </w:tabs>
        <w:bidi/>
        <w:spacing w:line="360" w:lineRule="auto"/>
        <w:jc w:val="both"/>
        <w:rPr>
          <w:rFonts w:ascii="Arial" w:hAnsi="Arial"/>
          <w:b/>
          <w:bCs/>
          <w:color w:val="008000"/>
          <w:sz w:val="24"/>
          <w:u w:val="single"/>
          <w:rtl/>
        </w:rPr>
      </w:pPr>
      <w:r w:rsidRPr="00BD3500">
        <w:rPr>
          <w:rFonts w:ascii="Arial" w:hAnsi="Arial" w:hint="cs"/>
          <w:b/>
          <w:bCs/>
          <w:color w:val="0000FF"/>
          <w:sz w:val="24"/>
          <w:u w:val="single"/>
          <w:rtl/>
        </w:rPr>
        <w:t>התקבלה בחלקה בקשה לעיכוב ביצוע פסק דין כספי</w:t>
      </w:r>
    </w:p>
    <w:p w:rsidR="000118BE" w:rsidRPr="009C7A09" w:rsidRDefault="000118BE" w:rsidP="00A8553B">
      <w:pPr>
        <w:tabs>
          <w:tab w:val="left" w:pos="62"/>
          <w:tab w:val="left" w:pos="90"/>
        </w:tabs>
        <w:bidi/>
        <w:spacing w:line="360" w:lineRule="auto"/>
        <w:ind w:left="62"/>
        <w:jc w:val="both"/>
        <w:rPr>
          <w:rFonts w:ascii="Arial" w:eastAsia="Calibri" w:hAnsi="Arial"/>
          <w:b/>
          <w:bCs/>
          <w:sz w:val="24"/>
          <w:rtl/>
        </w:rPr>
      </w:pPr>
    </w:p>
    <w:p w:rsidR="000118BE" w:rsidRDefault="000118BE" w:rsidP="00A8553B">
      <w:pPr>
        <w:tabs>
          <w:tab w:val="left" w:pos="-316"/>
          <w:tab w:val="left" w:pos="0"/>
          <w:tab w:val="num" w:pos="44"/>
        </w:tabs>
        <w:bidi/>
        <w:spacing w:line="360" w:lineRule="auto"/>
        <w:ind w:left="44"/>
        <w:jc w:val="both"/>
        <w:rPr>
          <w:rFonts w:ascii="Arial" w:eastAsia="Calibri" w:hAnsi="Arial"/>
          <w:b/>
          <w:bCs/>
          <w:sz w:val="24"/>
          <w:rtl/>
        </w:rPr>
      </w:pPr>
      <w:r w:rsidRPr="00216A2C">
        <w:rPr>
          <w:rFonts w:ascii="Arial" w:eastAsia="Calibri" w:hAnsi="Arial" w:hint="cs"/>
          <w:b/>
          <w:bCs/>
          <w:sz w:val="24"/>
          <w:rtl/>
        </w:rPr>
        <w:t xml:space="preserve">בית הדין הארצי קיבל בחלקה בקשה לעיכוב ביצוע פסק דין, במסגרתו חויבו חברה ומנהל החברה, </w:t>
      </w:r>
      <w:r w:rsidRPr="00216A2C">
        <w:rPr>
          <w:rFonts w:ascii="Arial" w:eastAsia="Calibri" w:hAnsi="Arial"/>
          <w:b/>
          <w:bCs/>
          <w:sz w:val="24"/>
          <w:rtl/>
        </w:rPr>
        <w:t>ביחד ולחוד, לשלם ל</w:t>
      </w:r>
      <w:r w:rsidRPr="00216A2C">
        <w:rPr>
          <w:rFonts w:ascii="Arial" w:eastAsia="Calibri" w:hAnsi="Arial" w:hint="cs"/>
          <w:b/>
          <w:bCs/>
          <w:sz w:val="24"/>
          <w:rtl/>
        </w:rPr>
        <w:t>עובד לשעבר</w:t>
      </w:r>
      <w:r w:rsidRPr="00216A2C">
        <w:rPr>
          <w:rFonts w:ascii="Arial" w:eastAsia="Calibri" w:hAnsi="Arial"/>
          <w:b/>
          <w:bCs/>
          <w:sz w:val="24"/>
          <w:rtl/>
        </w:rPr>
        <w:t xml:space="preserve"> זכויות כספיות שונות בגין תקופת עבודתו וסיומה</w:t>
      </w:r>
      <w:r w:rsidRPr="00216A2C">
        <w:rPr>
          <w:rFonts w:ascii="Arial" w:eastAsia="Calibri" w:hAnsi="Arial" w:hint="cs"/>
          <w:b/>
          <w:bCs/>
          <w:sz w:val="24"/>
          <w:rtl/>
        </w:rPr>
        <w:t xml:space="preserve">, </w:t>
      </w:r>
      <w:r w:rsidRPr="00216A2C">
        <w:rPr>
          <w:rFonts w:ascii="Arial" w:eastAsia="Calibri" w:hAnsi="Arial"/>
          <w:b/>
          <w:bCs/>
          <w:sz w:val="24"/>
          <w:rtl/>
        </w:rPr>
        <w:t xml:space="preserve">לאחר שעמד על האיזון הראוי בין האינטרסים של הצדדים, ובשים לב לאיזון בין סיכויי הערעור לבין מאזן הנזקים. </w:t>
      </w:r>
    </w:p>
    <w:p w:rsidR="000118BE" w:rsidRDefault="000118BE" w:rsidP="00A8553B">
      <w:pPr>
        <w:tabs>
          <w:tab w:val="left" w:pos="-316"/>
          <w:tab w:val="left" w:pos="0"/>
          <w:tab w:val="num" w:pos="44"/>
        </w:tabs>
        <w:bidi/>
        <w:spacing w:line="360" w:lineRule="auto"/>
        <w:ind w:left="44"/>
        <w:jc w:val="both"/>
        <w:rPr>
          <w:rFonts w:ascii="Arial" w:eastAsia="Calibri" w:hAnsi="Arial"/>
          <w:b/>
          <w:bCs/>
          <w:sz w:val="24"/>
          <w:rtl/>
        </w:rPr>
      </w:pPr>
      <w:r w:rsidRPr="00216A2C">
        <w:rPr>
          <w:rFonts w:ascii="Arial" w:eastAsia="Calibri" w:hAnsi="Arial" w:hint="cs"/>
          <w:b/>
          <w:bCs/>
          <w:sz w:val="24"/>
          <w:rtl/>
        </w:rPr>
        <w:t xml:space="preserve">בית הדין ציין, כי </w:t>
      </w:r>
      <w:r w:rsidRPr="00216A2C">
        <w:rPr>
          <w:rFonts w:ascii="Arial" w:eastAsia="Calibri" w:hAnsi="Arial"/>
          <w:b/>
          <w:bCs/>
          <w:sz w:val="24"/>
          <w:rtl/>
        </w:rPr>
        <w:t>הלכה פסוקה היא כי מי שזכה בדינו, זכאי לממש את פרי זכייתו באופן מיידי וכי הגשת ערעור אינה מעכבת את מימוש פסק הדין. עיכוב ביצועו של פסק דין הוא בבחינת חריג לכלל, במיוחד כשמדובר בחיוב כספי</w:t>
      </w:r>
      <w:r w:rsidRPr="00216A2C">
        <w:rPr>
          <w:rFonts w:ascii="Arial" w:eastAsia="Calibri" w:hAnsi="Arial" w:hint="cs"/>
          <w:b/>
          <w:bCs/>
          <w:sz w:val="24"/>
          <w:rtl/>
        </w:rPr>
        <w:t xml:space="preserve"> ו</w:t>
      </w:r>
      <w:r w:rsidRPr="00216A2C">
        <w:rPr>
          <w:rFonts w:ascii="Arial" w:eastAsia="Calibri" w:hAnsi="Arial"/>
          <w:b/>
          <w:bCs/>
          <w:sz w:val="24"/>
          <w:rtl/>
        </w:rPr>
        <w:t xml:space="preserve">מותנה, בדרך כלל, בהצטברות שני </w:t>
      </w:r>
      <w:r w:rsidRPr="00216A2C">
        <w:rPr>
          <w:rFonts w:ascii="Arial" w:eastAsia="Calibri" w:hAnsi="Arial" w:hint="cs"/>
          <w:b/>
          <w:bCs/>
          <w:sz w:val="24"/>
          <w:rtl/>
        </w:rPr>
        <w:t>שיקולים</w:t>
      </w:r>
      <w:r w:rsidRPr="00216A2C">
        <w:rPr>
          <w:rFonts w:ascii="Arial" w:eastAsia="Calibri" w:hAnsi="Arial"/>
          <w:b/>
          <w:bCs/>
          <w:sz w:val="24"/>
          <w:rtl/>
        </w:rPr>
        <w:t>: האחד - הנזק היחסי שייגרם למבקש מאי היענות לבקשה גדול מן הנזק הצפוי לעובד אם יעוכב הביצוע; ה</w:t>
      </w:r>
      <w:r w:rsidRPr="00216A2C">
        <w:rPr>
          <w:rFonts w:ascii="Arial" w:eastAsia="Calibri" w:hAnsi="Arial" w:hint="cs"/>
          <w:b/>
          <w:bCs/>
          <w:sz w:val="24"/>
          <w:rtl/>
        </w:rPr>
        <w:t>שיקול ה</w:t>
      </w:r>
      <w:r w:rsidRPr="00216A2C">
        <w:rPr>
          <w:rFonts w:ascii="Arial" w:eastAsia="Calibri" w:hAnsi="Arial"/>
          <w:b/>
          <w:bCs/>
          <w:sz w:val="24"/>
          <w:rtl/>
        </w:rPr>
        <w:t xml:space="preserve">שני - סיכויי הערעור טובים. כאשר פסק הדין מטיל חיוב כספי על המבקש את עיכובו, הנטייה היא שלא לעכב את ביצועו, אלא אם יוכח שהמבקש לא יוכל לגבות את כספו אם יזכה בערעור. </w:t>
      </w:r>
    </w:p>
    <w:p w:rsidR="000118BE" w:rsidRPr="00216A2C" w:rsidRDefault="000118BE" w:rsidP="00A8553B">
      <w:pPr>
        <w:tabs>
          <w:tab w:val="left" w:pos="-316"/>
          <w:tab w:val="left" w:pos="0"/>
          <w:tab w:val="num" w:pos="44"/>
        </w:tabs>
        <w:bidi/>
        <w:spacing w:line="360" w:lineRule="auto"/>
        <w:ind w:left="44"/>
        <w:jc w:val="both"/>
        <w:rPr>
          <w:rFonts w:ascii="Arial" w:eastAsia="Calibri" w:hAnsi="Arial"/>
          <w:b/>
          <w:bCs/>
          <w:sz w:val="24"/>
          <w:rtl/>
        </w:rPr>
      </w:pPr>
      <w:r w:rsidRPr="00216A2C">
        <w:rPr>
          <w:rFonts w:ascii="Arial" w:eastAsia="Calibri" w:hAnsi="Arial" w:hint="cs"/>
          <w:b/>
          <w:bCs/>
          <w:sz w:val="24"/>
          <w:rtl/>
        </w:rPr>
        <w:t xml:space="preserve">במקרה דנן, בית הדין הארצי קבע, </w:t>
      </w:r>
      <w:r w:rsidRPr="00216A2C">
        <w:rPr>
          <w:rFonts w:ascii="Arial" w:eastAsia="Calibri" w:hAnsi="Arial"/>
          <w:b/>
          <w:bCs/>
          <w:sz w:val="24"/>
          <w:rtl/>
        </w:rPr>
        <w:t>כי האיזון הראוי בין האינטרסים של הצדדים</w:t>
      </w:r>
      <w:r w:rsidRPr="00216A2C">
        <w:rPr>
          <w:rFonts w:ascii="Arial" w:eastAsia="Calibri" w:hAnsi="Arial" w:hint="cs"/>
          <w:b/>
          <w:bCs/>
          <w:sz w:val="24"/>
          <w:rtl/>
        </w:rPr>
        <w:t>,</w:t>
      </w:r>
      <w:r w:rsidRPr="00216A2C">
        <w:rPr>
          <w:rFonts w:ascii="Arial" w:eastAsia="Calibri" w:hAnsi="Arial"/>
          <w:b/>
          <w:bCs/>
          <w:sz w:val="24"/>
          <w:rtl/>
        </w:rPr>
        <w:t xml:space="preserve"> ובשים לב לאיזון בין סיכויי הערעור לבין מאזן הנזקים</w:t>
      </w:r>
      <w:r w:rsidRPr="00216A2C">
        <w:rPr>
          <w:rFonts w:ascii="Arial" w:eastAsia="Calibri" w:hAnsi="Arial" w:hint="cs"/>
          <w:b/>
          <w:bCs/>
          <w:sz w:val="24"/>
          <w:rtl/>
        </w:rPr>
        <w:t>,</w:t>
      </w:r>
      <w:r w:rsidRPr="00216A2C">
        <w:rPr>
          <w:rFonts w:ascii="Arial" w:eastAsia="Calibri" w:hAnsi="Arial"/>
          <w:b/>
          <w:bCs/>
          <w:sz w:val="24"/>
          <w:rtl/>
        </w:rPr>
        <w:t xml:space="preserve"> הוא </w:t>
      </w:r>
      <w:r w:rsidRPr="00216A2C">
        <w:rPr>
          <w:rFonts w:ascii="Arial" w:eastAsia="Calibri" w:hAnsi="Arial" w:hint="cs"/>
          <w:b/>
          <w:bCs/>
          <w:sz w:val="24"/>
          <w:rtl/>
        </w:rPr>
        <w:t>עיכוב</w:t>
      </w:r>
      <w:r w:rsidRPr="00216A2C">
        <w:rPr>
          <w:rFonts w:ascii="Arial" w:eastAsia="Calibri" w:hAnsi="Arial"/>
          <w:b/>
          <w:bCs/>
          <w:sz w:val="24"/>
          <w:rtl/>
        </w:rPr>
        <w:t xml:space="preserve"> ביצוע כלל פסק הדין</w:t>
      </w:r>
      <w:r w:rsidRPr="00216A2C">
        <w:rPr>
          <w:rFonts w:ascii="Arial" w:eastAsia="Calibri" w:hAnsi="Arial" w:hint="cs"/>
          <w:b/>
          <w:bCs/>
          <w:sz w:val="24"/>
          <w:rtl/>
        </w:rPr>
        <w:t xml:space="preserve"> ביחס למנהל החברה ועיכוב</w:t>
      </w:r>
      <w:r w:rsidRPr="00216A2C">
        <w:rPr>
          <w:rFonts w:ascii="Arial" w:eastAsia="Calibri" w:hAnsi="Arial"/>
          <w:b/>
          <w:bCs/>
          <w:sz w:val="24"/>
          <w:rtl/>
        </w:rPr>
        <w:t xml:space="preserve"> ביצוע מחצית מרכיב השעות הנוספות ו</w:t>
      </w:r>
      <w:r w:rsidRPr="00216A2C">
        <w:rPr>
          <w:rFonts w:ascii="Arial" w:eastAsia="Calibri" w:hAnsi="Arial" w:hint="cs"/>
          <w:b/>
          <w:bCs/>
          <w:sz w:val="24"/>
          <w:rtl/>
        </w:rPr>
        <w:t>מחצית מ</w:t>
      </w:r>
      <w:r w:rsidRPr="00216A2C">
        <w:rPr>
          <w:rFonts w:ascii="Arial" w:eastAsia="Calibri" w:hAnsi="Arial"/>
          <w:b/>
          <w:bCs/>
          <w:sz w:val="24"/>
          <w:rtl/>
        </w:rPr>
        <w:t>רכיב קופת הגמל</w:t>
      </w:r>
      <w:r w:rsidRPr="00216A2C">
        <w:rPr>
          <w:rFonts w:ascii="Arial" w:eastAsia="Calibri" w:hAnsi="Arial" w:hint="cs"/>
          <w:b/>
          <w:bCs/>
          <w:sz w:val="24"/>
          <w:rtl/>
        </w:rPr>
        <w:t xml:space="preserve"> ביחס לחברה. </w:t>
      </w:r>
    </w:p>
    <w:p w:rsidR="000118BE" w:rsidRPr="00216A2C" w:rsidRDefault="000118BE" w:rsidP="00A8553B">
      <w:pPr>
        <w:tabs>
          <w:tab w:val="left" w:pos="62"/>
          <w:tab w:val="left" w:pos="90"/>
        </w:tabs>
        <w:bidi/>
        <w:spacing w:line="360" w:lineRule="auto"/>
        <w:ind w:left="62"/>
        <w:jc w:val="both"/>
        <w:rPr>
          <w:rFonts w:ascii="Arial" w:hAnsi="Arial"/>
          <w:b/>
          <w:bCs/>
          <w:sz w:val="32"/>
          <w:szCs w:val="32"/>
          <w:u w:val="single"/>
        </w:rPr>
      </w:pPr>
      <w:r w:rsidRPr="00216A2C">
        <w:rPr>
          <w:rFonts w:hint="cs"/>
          <w:sz w:val="22"/>
          <w:szCs w:val="22"/>
          <w:rtl/>
        </w:rPr>
        <w:t xml:space="preserve">עע (ארצי) 32145-08-13 </w:t>
      </w:r>
      <w:r w:rsidRPr="00216A2C">
        <w:rPr>
          <w:color w:val="FF0000"/>
          <w:sz w:val="22"/>
          <w:szCs w:val="22"/>
        </w:rPr>
        <w:t>●</w:t>
      </w:r>
      <w:r w:rsidRPr="00216A2C">
        <w:rPr>
          <w:rFonts w:hint="cs"/>
          <w:b/>
          <w:bCs/>
          <w:color w:val="FF0000"/>
          <w:sz w:val="22"/>
          <w:szCs w:val="22"/>
          <w:rtl/>
        </w:rPr>
        <w:t xml:space="preserve"> </w:t>
      </w:r>
      <w:r w:rsidRPr="00216A2C">
        <w:rPr>
          <w:b/>
          <w:bCs/>
          <w:sz w:val="22"/>
          <w:szCs w:val="22"/>
          <w:rtl/>
        </w:rPr>
        <w:t>יוסי רול הנדסה בע"מ נ' ארקדי פרנקל</w:t>
      </w:r>
      <w:r w:rsidRPr="00216A2C">
        <w:rPr>
          <w:rFonts w:hint="cs"/>
          <w:sz w:val="22"/>
          <w:szCs w:val="22"/>
          <w:rtl/>
        </w:rPr>
        <w:t xml:space="preserve"> (12.1.14) </w:t>
      </w:r>
      <w:r w:rsidRPr="00216A2C">
        <w:rPr>
          <w:color w:val="FF0000"/>
          <w:sz w:val="22"/>
          <w:szCs w:val="22"/>
        </w:rPr>
        <w:t xml:space="preserve"> ●</w:t>
      </w:r>
      <w:r w:rsidRPr="00216A2C">
        <w:rPr>
          <w:rFonts w:hint="cs"/>
          <w:sz w:val="22"/>
          <w:szCs w:val="22"/>
          <w:rtl/>
        </w:rPr>
        <w:t>בפני כבוד השופט אילן איטח</w:t>
      </w:r>
    </w:p>
    <w:p w:rsidR="008F590E" w:rsidRPr="00C542C9" w:rsidRDefault="008F590E" w:rsidP="008F590E">
      <w:pPr>
        <w:tabs>
          <w:tab w:val="left" w:pos="-316"/>
        </w:tabs>
        <w:bidi/>
        <w:spacing w:line="360" w:lineRule="auto"/>
        <w:ind w:left="26" w:right="-180"/>
        <w:jc w:val="both"/>
        <w:rPr>
          <w:rFonts w:ascii="Arial" w:hAnsi="Arial"/>
          <w:color w:val="008000"/>
          <w:sz w:val="28"/>
          <w:szCs w:val="28"/>
          <w:u w:val="single"/>
          <w:rtl/>
        </w:rPr>
      </w:pPr>
    </w:p>
    <w:p w:rsidR="000118BE" w:rsidRPr="00BD3500" w:rsidRDefault="000118BE" w:rsidP="00A8553B">
      <w:pPr>
        <w:numPr>
          <w:ilvl w:val="0"/>
          <w:numId w:val="31"/>
        </w:numPr>
        <w:tabs>
          <w:tab w:val="left" w:pos="70"/>
        </w:tabs>
        <w:bidi/>
        <w:spacing w:line="360" w:lineRule="auto"/>
        <w:jc w:val="both"/>
        <w:rPr>
          <w:rFonts w:ascii="Arial" w:hAnsi="Arial"/>
          <w:b/>
          <w:bCs/>
          <w:color w:val="0000FF"/>
          <w:sz w:val="24"/>
          <w:u w:val="single"/>
          <w:rtl/>
        </w:rPr>
      </w:pPr>
      <w:r w:rsidRPr="00BD3500">
        <w:rPr>
          <w:rFonts w:ascii="Arial" w:hAnsi="Arial" w:hint="cs"/>
          <w:b/>
          <w:bCs/>
          <w:color w:val="0000FF"/>
          <w:sz w:val="24"/>
          <w:u w:val="single"/>
          <w:rtl/>
        </w:rPr>
        <w:t>התקבלה בקשת משרד מבקר המדינה</w:t>
      </w:r>
      <w:r w:rsidRPr="00BD3500">
        <w:rPr>
          <w:rFonts w:ascii="Arial" w:hAnsi="Arial"/>
          <w:b/>
          <w:bCs/>
          <w:color w:val="0000FF"/>
          <w:sz w:val="24"/>
          <w:u w:val="single"/>
          <w:rtl/>
        </w:rPr>
        <w:t xml:space="preserve"> </w:t>
      </w:r>
      <w:r w:rsidRPr="00BD3500">
        <w:rPr>
          <w:rFonts w:ascii="Arial" w:hAnsi="Arial" w:hint="cs"/>
          <w:b/>
          <w:bCs/>
          <w:color w:val="0000FF"/>
          <w:sz w:val="24"/>
          <w:u w:val="single"/>
          <w:rtl/>
        </w:rPr>
        <w:t>לעיכוב פסק דין</w:t>
      </w:r>
      <w:r w:rsidRPr="00BD3500">
        <w:rPr>
          <w:rFonts w:ascii="Arial" w:hAnsi="Arial"/>
          <w:b/>
          <w:bCs/>
          <w:color w:val="0000FF"/>
          <w:sz w:val="24"/>
          <w:u w:val="single"/>
          <w:rtl/>
        </w:rPr>
        <w:t xml:space="preserve"> </w:t>
      </w:r>
      <w:r w:rsidRPr="00BD3500">
        <w:rPr>
          <w:rFonts w:ascii="Arial" w:hAnsi="Arial" w:hint="cs"/>
          <w:b/>
          <w:bCs/>
          <w:color w:val="0000FF"/>
          <w:sz w:val="24"/>
          <w:u w:val="single"/>
          <w:rtl/>
        </w:rPr>
        <w:t>עקרוני</w:t>
      </w:r>
    </w:p>
    <w:p w:rsidR="000118BE" w:rsidRPr="009C7A09" w:rsidRDefault="000118BE" w:rsidP="00A8553B">
      <w:pPr>
        <w:tabs>
          <w:tab w:val="left" w:pos="62"/>
          <w:tab w:val="left" w:pos="90"/>
        </w:tabs>
        <w:bidi/>
        <w:spacing w:line="360" w:lineRule="auto"/>
        <w:ind w:left="62"/>
        <w:jc w:val="both"/>
        <w:rPr>
          <w:rFonts w:ascii="Arial" w:eastAsia="Calibri" w:hAnsi="Arial"/>
          <w:b/>
          <w:bCs/>
          <w:sz w:val="24"/>
          <w:rtl/>
        </w:rPr>
      </w:pPr>
    </w:p>
    <w:p w:rsidR="000118BE" w:rsidRPr="00A96FC9" w:rsidRDefault="000118BE" w:rsidP="00A8553B">
      <w:pPr>
        <w:tabs>
          <w:tab w:val="left" w:pos="-316"/>
          <w:tab w:val="left" w:pos="0"/>
          <w:tab w:val="num" w:pos="44"/>
        </w:tabs>
        <w:bidi/>
        <w:spacing w:line="360" w:lineRule="auto"/>
        <w:ind w:left="44"/>
        <w:jc w:val="both"/>
        <w:rPr>
          <w:rFonts w:ascii="Arial" w:eastAsia="Calibri" w:hAnsi="Arial"/>
          <w:b/>
          <w:bCs/>
          <w:sz w:val="24"/>
          <w:rtl/>
        </w:rPr>
      </w:pPr>
      <w:r w:rsidRPr="00A96FC9">
        <w:rPr>
          <w:rFonts w:ascii="Arial" w:eastAsia="Calibri" w:hAnsi="Arial" w:hint="cs"/>
          <w:b/>
          <w:bCs/>
          <w:sz w:val="24"/>
          <w:rtl/>
        </w:rPr>
        <w:t xml:space="preserve">בית הדין הארצי קיבל בקשת משרד מבקר המדינה לעיכוב ביצוע פסק דין אזורי, </w:t>
      </w:r>
      <w:r w:rsidRPr="00A96FC9">
        <w:rPr>
          <w:rFonts w:ascii="Arial" w:eastAsia="Calibri" w:hAnsi="Arial"/>
          <w:b/>
          <w:bCs/>
          <w:sz w:val="24"/>
          <w:rtl/>
        </w:rPr>
        <w:t xml:space="preserve">מאחר שבערעורים עומדות להכרעה שאלות משפטיות עקרוניות, </w:t>
      </w:r>
      <w:r w:rsidRPr="00A96FC9">
        <w:rPr>
          <w:rFonts w:ascii="Arial" w:eastAsia="Calibri" w:hAnsi="Arial" w:hint="cs"/>
          <w:b/>
          <w:bCs/>
          <w:sz w:val="24"/>
          <w:rtl/>
        </w:rPr>
        <w:t>מאחר ש</w:t>
      </w:r>
      <w:r w:rsidRPr="00A96FC9">
        <w:rPr>
          <w:rFonts w:ascii="Arial" w:eastAsia="Calibri" w:hAnsi="Arial"/>
          <w:b/>
          <w:bCs/>
          <w:sz w:val="24"/>
          <w:rtl/>
        </w:rPr>
        <w:t>בשלב זה לא ניתן לשלול את סיכויי הערעור</w:t>
      </w:r>
      <w:r w:rsidRPr="00A96FC9">
        <w:rPr>
          <w:rFonts w:ascii="Arial" w:eastAsia="Calibri" w:hAnsi="Arial" w:hint="cs"/>
          <w:b/>
          <w:bCs/>
          <w:sz w:val="24"/>
          <w:rtl/>
        </w:rPr>
        <w:t xml:space="preserve">, </w:t>
      </w:r>
      <w:r w:rsidRPr="00A96FC9">
        <w:rPr>
          <w:rFonts w:ascii="Arial" w:eastAsia="Calibri" w:hAnsi="Arial"/>
          <w:b/>
          <w:bCs/>
          <w:sz w:val="24"/>
          <w:rtl/>
        </w:rPr>
        <w:t xml:space="preserve">מאחר שבפסק הדין יש משום שינוי נוהג הקיים במבקשת שנים רבות ואין מקום לשנותו </w:t>
      </w:r>
      <w:r w:rsidRPr="00A96FC9">
        <w:rPr>
          <w:rFonts w:ascii="Arial" w:eastAsia="Calibri" w:hAnsi="Arial" w:hint="cs"/>
          <w:b/>
          <w:bCs/>
          <w:sz w:val="24"/>
          <w:rtl/>
        </w:rPr>
        <w:t>ומאחר ש</w:t>
      </w:r>
      <w:r w:rsidRPr="00A96FC9">
        <w:rPr>
          <w:rFonts w:ascii="Arial" w:eastAsia="Calibri" w:hAnsi="Arial"/>
          <w:b/>
          <w:bCs/>
          <w:sz w:val="24"/>
          <w:rtl/>
        </w:rPr>
        <w:t>הערעורים טרם הוכרעו ויתקיים דיון בקרוב.</w:t>
      </w:r>
    </w:p>
    <w:p w:rsidR="000118BE" w:rsidRPr="00A96FC9" w:rsidRDefault="000118BE" w:rsidP="00A8553B">
      <w:pPr>
        <w:tabs>
          <w:tab w:val="left" w:pos="-316"/>
          <w:tab w:val="left" w:pos="0"/>
          <w:tab w:val="num" w:pos="44"/>
        </w:tabs>
        <w:bidi/>
        <w:spacing w:line="360" w:lineRule="auto"/>
        <w:ind w:left="44"/>
        <w:jc w:val="both"/>
        <w:rPr>
          <w:rFonts w:ascii="Arial" w:eastAsia="Calibri" w:hAnsi="Arial"/>
          <w:b/>
          <w:bCs/>
          <w:sz w:val="24"/>
          <w:rtl/>
        </w:rPr>
      </w:pPr>
    </w:p>
    <w:p w:rsidR="000118BE" w:rsidRPr="00A96FC9" w:rsidRDefault="000118BE" w:rsidP="00A8553B">
      <w:pPr>
        <w:tabs>
          <w:tab w:val="left" w:pos="-316"/>
          <w:tab w:val="left" w:pos="0"/>
          <w:tab w:val="num" w:pos="44"/>
        </w:tabs>
        <w:bidi/>
        <w:spacing w:line="360" w:lineRule="auto"/>
        <w:ind w:left="44"/>
        <w:jc w:val="both"/>
        <w:rPr>
          <w:rFonts w:ascii="Arial" w:eastAsia="Calibri" w:hAnsi="Arial"/>
          <w:b/>
          <w:bCs/>
          <w:sz w:val="24"/>
          <w:rtl/>
        </w:rPr>
      </w:pPr>
      <w:r w:rsidRPr="00A96FC9">
        <w:rPr>
          <w:rFonts w:ascii="Arial" w:eastAsia="Calibri" w:hAnsi="Arial" w:hint="cs"/>
          <w:b/>
          <w:bCs/>
          <w:sz w:val="24"/>
          <w:rtl/>
        </w:rPr>
        <w:t xml:space="preserve">ענייננו בעובדת משרד מבקר המדינה, אשר פנתה </w:t>
      </w:r>
      <w:r w:rsidRPr="00A96FC9">
        <w:rPr>
          <w:rFonts w:ascii="Arial" w:eastAsia="Calibri" w:hAnsi="Arial"/>
          <w:b/>
          <w:bCs/>
          <w:sz w:val="24"/>
          <w:rtl/>
        </w:rPr>
        <w:t>לב</w:t>
      </w:r>
      <w:r w:rsidRPr="00A96FC9">
        <w:rPr>
          <w:rFonts w:ascii="Arial" w:eastAsia="Calibri" w:hAnsi="Arial" w:hint="cs"/>
          <w:b/>
          <w:bCs/>
          <w:sz w:val="24"/>
          <w:rtl/>
        </w:rPr>
        <w:t>ית הדין</w:t>
      </w:r>
      <w:r w:rsidRPr="00A96FC9">
        <w:rPr>
          <w:rFonts w:ascii="Arial" w:eastAsia="Calibri" w:hAnsi="Arial"/>
          <w:b/>
          <w:bCs/>
          <w:sz w:val="24"/>
          <w:rtl/>
        </w:rPr>
        <w:t xml:space="preserve"> האזורי בניסיון לבטל את בחירתן של זוכות במכרזים</w:t>
      </w:r>
      <w:r w:rsidRPr="00A96FC9">
        <w:rPr>
          <w:rFonts w:ascii="Arial" w:eastAsia="Calibri" w:hAnsi="Arial" w:hint="cs"/>
          <w:b/>
          <w:bCs/>
          <w:sz w:val="24"/>
          <w:rtl/>
        </w:rPr>
        <w:t>, אליהן הגישה אף היא מועמדות,</w:t>
      </w:r>
      <w:r w:rsidRPr="00A96FC9">
        <w:rPr>
          <w:rFonts w:ascii="Arial" w:eastAsia="Calibri" w:hAnsi="Arial"/>
          <w:b/>
          <w:bCs/>
          <w:sz w:val="24"/>
          <w:rtl/>
        </w:rPr>
        <w:t xml:space="preserve"> בטענה כי הליך הבחירה במכרזים פנימיים ב</w:t>
      </w:r>
      <w:r w:rsidRPr="00A96FC9">
        <w:rPr>
          <w:rFonts w:ascii="Arial" w:eastAsia="Calibri" w:hAnsi="Arial" w:hint="cs"/>
          <w:b/>
          <w:bCs/>
          <w:sz w:val="24"/>
          <w:rtl/>
        </w:rPr>
        <w:t>משרד</w:t>
      </w:r>
      <w:r w:rsidRPr="00A96FC9">
        <w:rPr>
          <w:rFonts w:ascii="Arial" w:eastAsia="Calibri" w:hAnsi="Arial"/>
          <w:b/>
          <w:bCs/>
          <w:sz w:val="24"/>
          <w:rtl/>
        </w:rPr>
        <w:t xml:space="preserve"> נוגד את הליכי הבחירה הקבועים בתקשי"ר. בי</w:t>
      </w:r>
      <w:r w:rsidRPr="00A96FC9">
        <w:rPr>
          <w:rFonts w:ascii="Arial" w:eastAsia="Calibri" w:hAnsi="Arial" w:hint="cs"/>
          <w:b/>
          <w:bCs/>
          <w:sz w:val="24"/>
          <w:rtl/>
        </w:rPr>
        <w:t>ת הדין</w:t>
      </w:r>
      <w:r w:rsidRPr="00A96FC9">
        <w:rPr>
          <w:rFonts w:ascii="Arial" w:eastAsia="Calibri" w:hAnsi="Arial"/>
          <w:b/>
          <w:bCs/>
          <w:sz w:val="24"/>
          <w:rtl/>
        </w:rPr>
        <w:t xml:space="preserve"> האזורי קיבל את תביעת</w:t>
      </w:r>
      <w:r w:rsidRPr="00A96FC9">
        <w:rPr>
          <w:rFonts w:ascii="Arial" w:eastAsia="Calibri" w:hAnsi="Arial" w:hint="cs"/>
          <w:b/>
          <w:bCs/>
          <w:sz w:val="24"/>
          <w:rtl/>
        </w:rPr>
        <w:t>ה</w:t>
      </w:r>
      <w:r w:rsidRPr="00A96FC9">
        <w:rPr>
          <w:rFonts w:ascii="Arial" w:eastAsia="Calibri" w:hAnsi="Arial"/>
          <w:b/>
          <w:bCs/>
          <w:sz w:val="24"/>
          <w:rtl/>
        </w:rPr>
        <w:t xml:space="preserve"> בעיקרה וקבע כי </w:t>
      </w:r>
      <w:r w:rsidRPr="00A96FC9">
        <w:rPr>
          <w:rFonts w:ascii="Arial" w:eastAsia="Calibri" w:hAnsi="Arial" w:hint="cs"/>
          <w:b/>
          <w:bCs/>
          <w:sz w:val="24"/>
          <w:rtl/>
        </w:rPr>
        <w:t xml:space="preserve">על המשרד </w:t>
      </w:r>
      <w:r w:rsidRPr="00A96FC9">
        <w:rPr>
          <w:rFonts w:ascii="Arial" w:eastAsia="Calibri" w:hAnsi="Arial"/>
          <w:b/>
          <w:bCs/>
          <w:sz w:val="24"/>
          <w:rtl/>
        </w:rPr>
        <w:t xml:space="preserve">לקבוע כללים כתובים וברורים </w:t>
      </w:r>
      <w:r w:rsidRPr="00A96FC9">
        <w:rPr>
          <w:rFonts w:ascii="Arial" w:eastAsia="Calibri" w:hAnsi="Arial" w:hint="cs"/>
          <w:b/>
          <w:bCs/>
          <w:sz w:val="24"/>
          <w:rtl/>
        </w:rPr>
        <w:t>למכרזים פנימיים אשר אינם מתבצעים בהתאם לתקשי"ר</w:t>
      </w:r>
      <w:r w:rsidRPr="00A96FC9">
        <w:rPr>
          <w:rFonts w:ascii="Arial" w:eastAsia="Calibri" w:hAnsi="Arial"/>
          <w:b/>
          <w:bCs/>
          <w:sz w:val="24"/>
          <w:rtl/>
        </w:rPr>
        <w:t xml:space="preserve">. </w:t>
      </w:r>
      <w:r w:rsidRPr="00A96FC9">
        <w:rPr>
          <w:rFonts w:ascii="Arial" w:eastAsia="Calibri" w:hAnsi="Arial" w:hint="cs"/>
          <w:b/>
          <w:bCs/>
          <w:sz w:val="24"/>
          <w:rtl/>
        </w:rPr>
        <w:t>משרד מבקר המדינה ביקש לעכב את</w:t>
      </w:r>
      <w:r w:rsidRPr="00A96FC9">
        <w:rPr>
          <w:rFonts w:ascii="Arial" w:eastAsia="Calibri" w:hAnsi="Arial"/>
          <w:b/>
          <w:bCs/>
          <w:sz w:val="24"/>
          <w:rtl/>
        </w:rPr>
        <w:t xml:space="preserve"> ביצוע פסק הדין</w:t>
      </w:r>
      <w:r w:rsidRPr="00A96FC9">
        <w:rPr>
          <w:rFonts w:ascii="Arial" w:eastAsia="Calibri" w:hAnsi="Arial" w:hint="cs"/>
          <w:b/>
          <w:bCs/>
          <w:sz w:val="24"/>
          <w:rtl/>
        </w:rPr>
        <w:t xml:space="preserve"> ואכן, בית הדין</w:t>
      </w:r>
      <w:r w:rsidRPr="00A96FC9">
        <w:rPr>
          <w:rFonts w:ascii="Arial" w:eastAsia="Calibri" w:hAnsi="Arial"/>
          <w:b/>
          <w:bCs/>
          <w:sz w:val="24"/>
          <w:rtl/>
        </w:rPr>
        <w:t xml:space="preserve"> </w:t>
      </w:r>
      <w:r w:rsidRPr="00A96FC9">
        <w:rPr>
          <w:rFonts w:ascii="Arial" w:eastAsia="Calibri" w:hAnsi="Arial" w:hint="cs"/>
          <w:b/>
          <w:bCs/>
          <w:sz w:val="24"/>
          <w:rtl/>
        </w:rPr>
        <w:t>האזורי</w:t>
      </w:r>
      <w:r w:rsidRPr="00A96FC9">
        <w:rPr>
          <w:rFonts w:ascii="Arial" w:eastAsia="Calibri" w:hAnsi="Arial"/>
          <w:b/>
          <w:bCs/>
          <w:sz w:val="24"/>
          <w:rtl/>
        </w:rPr>
        <w:t xml:space="preserve"> קבע כי יש בפסיקתו משום שינוי נוהג שנהג שנים רבות במ</w:t>
      </w:r>
      <w:r w:rsidRPr="00A96FC9">
        <w:rPr>
          <w:rFonts w:ascii="Arial" w:eastAsia="Calibri" w:hAnsi="Arial" w:hint="cs"/>
          <w:b/>
          <w:bCs/>
          <w:sz w:val="24"/>
          <w:rtl/>
        </w:rPr>
        <w:t>שרד</w:t>
      </w:r>
      <w:r w:rsidRPr="00A96FC9">
        <w:rPr>
          <w:rFonts w:ascii="Arial" w:eastAsia="Calibri" w:hAnsi="Arial"/>
          <w:b/>
          <w:bCs/>
          <w:sz w:val="24"/>
          <w:rtl/>
        </w:rPr>
        <w:t xml:space="preserve"> ולכן פסק </w:t>
      </w:r>
      <w:r w:rsidRPr="00A96FC9">
        <w:rPr>
          <w:rFonts w:ascii="Arial" w:eastAsia="Calibri" w:hAnsi="Arial" w:hint="cs"/>
          <w:b/>
          <w:bCs/>
          <w:sz w:val="24"/>
          <w:rtl/>
        </w:rPr>
        <w:t>הדין</w:t>
      </w:r>
      <w:r w:rsidRPr="00A96FC9">
        <w:rPr>
          <w:rFonts w:ascii="Arial" w:eastAsia="Calibri" w:hAnsi="Arial"/>
          <w:b/>
          <w:bCs/>
          <w:sz w:val="24"/>
          <w:rtl/>
        </w:rPr>
        <w:t xml:space="preserve"> ייכנס לתוקף לאחר 6 חודשים</w:t>
      </w:r>
      <w:r w:rsidRPr="00A96FC9">
        <w:rPr>
          <w:rFonts w:ascii="Arial" w:eastAsia="Calibri" w:hAnsi="Arial" w:hint="cs"/>
          <w:b/>
          <w:bCs/>
          <w:sz w:val="24"/>
          <w:rtl/>
        </w:rPr>
        <w:t xml:space="preserve"> ואף הוסיף, </w:t>
      </w:r>
      <w:r w:rsidRPr="00A96FC9">
        <w:rPr>
          <w:rFonts w:ascii="Arial" w:eastAsia="Calibri" w:hAnsi="Arial"/>
          <w:b/>
          <w:bCs/>
          <w:sz w:val="24"/>
          <w:rtl/>
        </w:rPr>
        <w:t xml:space="preserve">כי מאחר שבפסיקתו יש משום סטייה מהלכות קודמות, ראוי </w:t>
      </w:r>
      <w:r w:rsidRPr="00A96FC9">
        <w:rPr>
          <w:rFonts w:ascii="Arial" w:eastAsia="Calibri" w:hAnsi="Arial" w:hint="cs"/>
          <w:b/>
          <w:bCs/>
          <w:sz w:val="24"/>
          <w:rtl/>
        </w:rPr>
        <w:t>שבית הדין</w:t>
      </w:r>
      <w:r w:rsidRPr="00A96FC9">
        <w:rPr>
          <w:rFonts w:ascii="Arial" w:eastAsia="Calibri" w:hAnsi="Arial"/>
          <w:b/>
          <w:bCs/>
          <w:sz w:val="24"/>
          <w:rtl/>
        </w:rPr>
        <w:t xml:space="preserve"> הארצי יאמר את דברו בסוגיה, ולפיכך הסעד שנפסק בפסק הדין ייכנס לתוקף בתום 12 חודשים ממועד מתן פסק הדין. משחלפו 12 חודשים ממועד מתן פסק הדין ולאור המועד בו נקבע הדיון בערעור </w:t>
      </w:r>
      <w:r w:rsidRPr="00A96FC9">
        <w:rPr>
          <w:rFonts w:ascii="Arial" w:eastAsia="Calibri" w:hAnsi="Arial" w:hint="cs"/>
          <w:b/>
          <w:bCs/>
          <w:sz w:val="24"/>
          <w:rtl/>
        </w:rPr>
        <w:t xml:space="preserve">הגיש </w:t>
      </w:r>
      <w:r w:rsidRPr="00A96FC9">
        <w:rPr>
          <w:rFonts w:ascii="Arial" w:eastAsia="Calibri" w:hAnsi="Arial"/>
          <w:b/>
          <w:bCs/>
          <w:sz w:val="24"/>
          <w:rtl/>
        </w:rPr>
        <w:t>משרד מבקר המדינה בקשה נוספת לעיכוב ביצוע</w:t>
      </w:r>
      <w:r w:rsidRPr="00A96FC9">
        <w:rPr>
          <w:rFonts w:ascii="Arial" w:eastAsia="Calibri" w:hAnsi="Arial" w:hint="cs"/>
          <w:b/>
          <w:bCs/>
          <w:sz w:val="24"/>
          <w:rtl/>
        </w:rPr>
        <w:t>.</w:t>
      </w:r>
      <w:r w:rsidRPr="00A96FC9">
        <w:rPr>
          <w:rFonts w:ascii="Arial" w:eastAsia="Calibri" w:hAnsi="Arial"/>
          <w:b/>
          <w:bCs/>
          <w:sz w:val="24"/>
          <w:rtl/>
        </w:rPr>
        <w:t xml:space="preserve"> </w:t>
      </w:r>
    </w:p>
    <w:p w:rsidR="000118BE" w:rsidRPr="00A96FC9" w:rsidRDefault="000118BE" w:rsidP="00A8553B">
      <w:pPr>
        <w:tabs>
          <w:tab w:val="left" w:pos="-316"/>
          <w:tab w:val="left" w:pos="0"/>
          <w:tab w:val="num" w:pos="44"/>
        </w:tabs>
        <w:bidi/>
        <w:spacing w:line="360" w:lineRule="auto"/>
        <w:ind w:left="44"/>
        <w:jc w:val="both"/>
        <w:rPr>
          <w:rFonts w:ascii="Arial" w:eastAsia="Calibri" w:hAnsi="Arial"/>
          <w:b/>
          <w:bCs/>
          <w:sz w:val="24"/>
          <w:rtl/>
        </w:rPr>
      </w:pPr>
      <w:r w:rsidRPr="00A96FC9">
        <w:rPr>
          <w:rFonts w:ascii="Arial" w:eastAsia="Calibri" w:hAnsi="Arial" w:hint="cs"/>
          <w:b/>
          <w:bCs/>
          <w:sz w:val="24"/>
          <w:rtl/>
        </w:rPr>
        <w:lastRenderedPageBreak/>
        <w:t xml:space="preserve">בית הדין הארצי קבע, כי </w:t>
      </w:r>
      <w:r w:rsidRPr="00A96FC9">
        <w:rPr>
          <w:rFonts w:ascii="Arial" w:eastAsia="Calibri" w:hAnsi="Arial"/>
          <w:b/>
          <w:bCs/>
          <w:sz w:val="24"/>
          <w:rtl/>
        </w:rPr>
        <w:t xml:space="preserve">עומדות </w:t>
      </w:r>
      <w:r w:rsidRPr="00A96FC9">
        <w:rPr>
          <w:rFonts w:ascii="Arial" w:eastAsia="Calibri" w:hAnsi="Arial" w:hint="cs"/>
          <w:b/>
          <w:bCs/>
          <w:sz w:val="24"/>
          <w:rtl/>
        </w:rPr>
        <w:t xml:space="preserve">לפניו </w:t>
      </w:r>
      <w:r w:rsidRPr="00A96FC9">
        <w:rPr>
          <w:rFonts w:ascii="Arial" w:eastAsia="Calibri" w:hAnsi="Arial"/>
          <w:b/>
          <w:bCs/>
          <w:sz w:val="24"/>
          <w:rtl/>
        </w:rPr>
        <w:t>להכרעה שאלות משפטיות עקרוניות, אשר ראוי שערכאת הערעור תיתן דעתה עליהן, ו</w:t>
      </w:r>
      <w:r w:rsidRPr="00A96FC9">
        <w:rPr>
          <w:rFonts w:ascii="Arial" w:eastAsia="Calibri" w:hAnsi="Arial" w:hint="cs"/>
          <w:b/>
          <w:bCs/>
          <w:sz w:val="24"/>
          <w:rtl/>
        </w:rPr>
        <w:t xml:space="preserve">כי </w:t>
      </w:r>
      <w:r w:rsidRPr="00A96FC9">
        <w:rPr>
          <w:rFonts w:ascii="Arial" w:eastAsia="Calibri" w:hAnsi="Arial"/>
          <w:b/>
          <w:bCs/>
          <w:sz w:val="24"/>
          <w:rtl/>
        </w:rPr>
        <w:t xml:space="preserve">לא ניתן לשלול את סיכויי הערעור. אשר </w:t>
      </w:r>
      <w:r w:rsidRPr="00A96FC9">
        <w:rPr>
          <w:rFonts w:ascii="Arial" w:eastAsia="Calibri" w:hAnsi="Arial" w:hint="cs"/>
          <w:b/>
          <w:bCs/>
          <w:sz w:val="24"/>
          <w:rtl/>
        </w:rPr>
        <w:t>ל</w:t>
      </w:r>
      <w:r w:rsidRPr="00A96FC9">
        <w:rPr>
          <w:rFonts w:ascii="Arial" w:eastAsia="Calibri" w:hAnsi="Arial"/>
          <w:b/>
          <w:bCs/>
          <w:sz w:val="24"/>
          <w:rtl/>
        </w:rPr>
        <w:t xml:space="preserve">מאזן הנוחות, </w:t>
      </w:r>
      <w:r w:rsidRPr="00A96FC9">
        <w:rPr>
          <w:rFonts w:ascii="Arial" w:eastAsia="Calibri" w:hAnsi="Arial" w:hint="cs"/>
          <w:b/>
          <w:bCs/>
          <w:sz w:val="24"/>
          <w:rtl/>
        </w:rPr>
        <w:t xml:space="preserve">נקבע כי </w:t>
      </w:r>
      <w:r w:rsidRPr="00A96FC9">
        <w:rPr>
          <w:rFonts w:ascii="Arial" w:eastAsia="Calibri" w:hAnsi="Arial"/>
          <w:b/>
          <w:bCs/>
          <w:sz w:val="24"/>
          <w:rtl/>
        </w:rPr>
        <w:t xml:space="preserve">הדיון בערעורים קבוע למועד קרוב </w:t>
      </w:r>
      <w:r w:rsidRPr="00A96FC9">
        <w:rPr>
          <w:rFonts w:ascii="Arial" w:eastAsia="Calibri" w:hAnsi="Arial" w:hint="cs"/>
          <w:b/>
          <w:bCs/>
          <w:sz w:val="24"/>
          <w:rtl/>
        </w:rPr>
        <w:t>ו</w:t>
      </w:r>
      <w:r w:rsidRPr="00A96FC9">
        <w:rPr>
          <w:rFonts w:ascii="Arial" w:eastAsia="Calibri" w:hAnsi="Arial"/>
          <w:b/>
          <w:bCs/>
          <w:sz w:val="24"/>
          <w:rtl/>
        </w:rPr>
        <w:t>אין מקום לשנות</w:t>
      </w:r>
      <w:r w:rsidRPr="00A96FC9">
        <w:rPr>
          <w:rFonts w:ascii="Arial" w:eastAsia="Calibri" w:hAnsi="Arial" w:hint="cs"/>
          <w:b/>
          <w:bCs/>
          <w:sz w:val="24"/>
          <w:rtl/>
        </w:rPr>
        <w:t xml:space="preserve"> בשלב זה</w:t>
      </w:r>
      <w:r w:rsidRPr="00A96FC9">
        <w:rPr>
          <w:rFonts w:ascii="Arial" w:eastAsia="Calibri" w:hAnsi="Arial"/>
          <w:b/>
          <w:bCs/>
          <w:sz w:val="24"/>
          <w:rtl/>
        </w:rPr>
        <w:t xml:space="preserve"> את הנהלים הקובעים את האופן שבו מתנהלים מכרזים פנימיים ב</w:t>
      </w:r>
      <w:r w:rsidRPr="00A96FC9">
        <w:rPr>
          <w:rFonts w:ascii="Arial" w:eastAsia="Calibri" w:hAnsi="Arial" w:hint="cs"/>
          <w:b/>
          <w:bCs/>
          <w:sz w:val="24"/>
          <w:rtl/>
        </w:rPr>
        <w:t>משרד מבקר המדינה</w:t>
      </w:r>
      <w:r w:rsidRPr="00A96FC9">
        <w:rPr>
          <w:rFonts w:ascii="Arial" w:eastAsia="Calibri" w:hAnsi="Arial"/>
          <w:b/>
          <w:bCs/>
          <w:sz w:val="24"/>
          <w:rtl/>
        </w:rPr>
        <w:t>.</w:t>
      </w:r>
    </w:p>
    <w:p w:rsidR="000118BE" w:rsidRPr="00A96FC9" w:rsidRDefault="000118BE" w:rsidP="00A8553B">
      <w:pPr>
        <w:tabs>
          <w:tab w:val="left" w:pos="62"/>
          <w:tab w:val="left" w:pos="90"/>
        </w:tabs>
        <w:bidi/>
        <w:spacing w:line="360" w:lineRule="auto"/>
        <w:ind w:left="62"/>
        <w:jc w:val="both"/>
        <w:rPr>
          <w:rFonts w:ascii="Arial" w:hAnsi="Arial"/>
          <w:b/>
          <w:bCs/>
          <w:sz w:val="22"/>
          <w:szCs w:val="22"/>
          <w:u w:val="single"/>
          <w:rtl/>
        </w:rPr>
      </w:pPr>
      <w:r w:rsidRPr="00A96FC9">
        <w:rPr>
          <w:rFonts w:hint="cs"/>
          <w:sz w:val="22"/>
          <w:szCs w:val="22"/>
          <w:rtl/>
        </w:rPr>
        <w:t xml:space="preserve">עע (ארצי) 2376-01-13 </w:t>
      </w:r>
      <w:r w:rsidRPr="00A96FC9">
        <w:rPr>
          <w:color w:val="FF0000"/>
          <w:sz w:val="22"/>
          <w:szCs w:val="22"/>
        </w:rPr>
        <w:t>●</w:t>
      </w:r>
      <w:r w:rsidRPr="00A96FC9">
        <w:rPr>
          <w:rFonts w:hint="cs"/>
          <w:b/>
          <w:bCs/>
          <w:sz w:val="22"/>
          <w:szCs w:val="22"/>
          <w:rtl/>
        </w:rPr>
        <w:t xml:space="preserve"> </w:t>
      </w:r>
      <w:r w:rsidRPr="00A96FC9">
        <w:rPr>
          <w:b/>
          <w:bCs/>
          <w:sz w:val="22"/>
          <w:szCs w:val="22"/>
          <w:rtl/>
        </w:rPr>
        <w:t>מדינת ישראל משרד מבקר המדינה נ' ד"ר מיכל דחוח הלוי</w:t>
      </w:r>
      <w:r w:rsidRPr="00A96FC9">
        <w:rPr>
          <w:rFonts w:hint="cs"/>
          <w:sz w:val="22"/>
          <w:szCs w:val="22"/>
          <w:rtl/>
        </w:rPr>
        <w:t xml:space="preserve"> (2.1.14) </w:t>
      </w:r>
      <w:r w:rsidRPr="00A96FC9">
        <w:rPr>
          <w:color w:val="FF0000"/>
          <w:sz w:val="22"/>
          <w:szCs w:val="22"/>
        </w:rPr>
        <w:t xml:space="preserve"> ●</w:t>
      </w:r>
      <w:r w:rsidRPr="00A96FC9">
        <w:rPr>
          <w:rFonts w:hint="cs"/>
          <w:sz w:val="22"/>
          <w:szCs w:val="22"/>
          <w:rtl/>
        </w:rPr>
        <w:t>בפני כבוד השופטת לאה גליקסמן</w:t>
      </w:r>
    </w:p>
    <w:p w:rsidR="000118BE" w:rsidRDefault="000118BE" w:rsidP="00A8553B">
      <w:pPr>
        <w:tabs>
          <w:tab w:val="left" w:pos="-316"/>
        </w:tabs>
        <w:bidi/>
        <w:spacing w:line="360" w:lineRule="auto"/>
        <w:ind w:left="26" w:right="-180"/>
        <w:jc w:val="both"/>
        <w:rPr>
          <w:rFonts w:ascii="Arial" w:hAnsi="Arial"/>
          <w:color w:val="008000"/>
          <w:sz w:val="28"/>
          <w:szCs w:val="28"/>
          <w:u w:val="single"/>
          <w:rtl/>
        </w:rPr>
      </w:pPr>
    </w:p>
    <w:p w:rsidR="000118BE" w:rsidRPr="00BD3500" w:rsidRDefault="000118BE" w:rsidP="00A8553B">
      <w:pPr>
        <w:numPr>
          <w:ilvl w:val="0"/>
          <w:numId w:val="31"/>
        </w:numPr>
        <w:tabs>
          <w:tab w:val="left" w:pos="70"/>
        </w:tabs>
        <w:bidi/>
        <w:spacing w:line="360" w:lineRule="auto"/>
        <w:jc w:val="both"/>
        <w:rPr>
          <w:rFonts w:ascii="Arial" w:hAnsi="Arial"/>
          <w:b/>
          <w:bCs/>
          <w:color w:val="0000FF"/>
          <w:sz w:val="24"/>
          <w:u w:val="single"/>
          <w:rtl/>
        </w:rPr>
      </w:pPr>
      <w:r w:rsidRPr="00BD3500">
        <w:rPr>
          <w:rFonts w:ascii="Arial" w:hAnsi="Arial" w:hint="cs"/>
          <w:b/>
          <w:bCs/>
          <w:color w:val="0000FF"/>
          <w:sz w:val="24"/>
          <w:u w:val="single"/>
          <w:rtl/>
        </w:rPr>
        <w:t>עוכב ביצוע פסק דין כספי, בכפוף להפקדתו בקופת בית-הדין</w:t>
      </w:r>
    </w:p>
    <w:p w:rsidR="000118BE" w:rsidRPr="009C7A09" w:rsidRDefault="000118BE" w:rsidP="00A8553B">
      <w:pPr>
        <w:tabs>
          <w:tab w:val="left" w:pos="62"/>
          <w:tab w:val="left" w:pos="90"/>
        </w:tabs>
        <w:bidi/>
        <w:spacing w:line="360" w:lineRule="auto"/>
        <w:ind w:left="62"/>
        <w:jc w:val="both"/>
        <w:rPr>
          <w:rFonts w:ascii="Arial" w:eastAsia="Calibri" w:hAnsi="Arial"/>
          <w:b/>
          <w:bCs/>
          <w:sz w:val="24"/>
          <w:rtl/>
        </w:rPr>
      </w:pPr>
    </w:p>
    <w:p w:rsidR="000118BE" w:rsidRPr="0010627E" w:rsidRDefault="000118BE" w:rsidP="00A8553B">
      <w:pPr>
        <w:tabs>
          <w:tab w:val="left" w:pos="-316"/>
          <w:tab w:val="left" w:pos="0"/>
          <w:tab w:val="num" w:pos="44"/>
        </w:tabs>
        <w:bidi/>
        <w:spacing w:line="360" w:lineRule="auto"/>
        <w:ind w:left="44"/>
        <w:jc w:val="both"/>
        <w:rPr>
          <w:rFonts w:ascii="Arial" w:eastAsia="Calibri" w:hAnsi="Arial"/>
          <w:b/>
          <w:bCs/>
          <w:sz w:val="24"/>
          <w:rtl/>
        </w:rPr>
      </w:pPr>
      <w:r w:rsidRPr="0010627E">
        <w:rPr>
          <w:rFonts w:ascii="Arial" w:eastAsia="Calibri" w:hAnsi="Arial" w:hint="cs"/>
          <w:b/>
          <w:bCs/>
          <w:sz w:val="24"/>
          <w:rtl/>
        </w:rPr>
        <w:t xml:space="preserve">עובד שפוטר ממקום עבודתו, הגיש תביעה המבוססת על חוק הגנה לעובדים (חשיפת עבירות ופגיעה בטוהר המידות או במנהל התקין) וחוק איסור לשון הרע. לטענת העובד הוא פוטר שלא כדין לאחר שהגיש תלונה במשטרה באשר לאירוע שהתרחש במקום העבודה.  </w:t>
      </w:r>
    </w:p>
    <w:p w:rsidR="000118BE" w:rsidRPr="0010627E" w:rsidRDefault="000118BE" w:rsidP="00A8553B">
      <w:pPr>
        <w:tabs>
          <w:tab w:val="left" w:pos="-316"/>
          <w:tab w:val="left" w:pos="0"/>
          <w:tab w:val="num" w:pos="44"/>
        </w:tabs>
        <w:bidi/>
        <w:spacing w:line="360" w:lineRule="auto"/>
        <w:ind w:left="44"/>
        <w:jc w:val="both"/>
        <w:rPr>
          <w:rFonts w:ascii="Arial" w:eastAsia="Calibri" w:hAnsi="Arial"/>
          <w:b/>
          <w:bCs/>
          <w:sz w:val="24"/>
          <w:rtl/>
        </w:rPr>
      </w:pPr>
      <w:r w:rsidRPr="0010627E">
        <w:rPr>
          <w:rFonts w:ascii="Arial" w:eastAsia="Calibri" w:hAnsi="Arial" w:hint="cs"/>
          <w:b/>
          <w:bCs/>
          <w:sz w:val="24"/>
          <w:rtl/>
        </w:rPr>
        <w:t xml:space="preserve">בית הדין האזורי לעבודה דחה את תביעתו המבוססת על חוק הגנה לעובדים וחוק איסור לשון הרע, לאחר שקבע שהם אינם רלוונטיים לעניין הנדון. עם זאת, פסק כי העובד זכאי לפיצוי בסך 21,390 ₪ מאחר והמעסיקה פעלה בניגוד לחובתה לשמור על כבודו כעובד, אף על פי שסעד זה לא התבקש בתביעה. המעסיקה הגישה ערעור על פסק הדין של בית הדין האזורי ואף הגישה בקשה לעיכוב ביצוע פסק הדין הכספי. </w:t>
      </w:r>
    </w:p>
    <w:p w:rsidR="000118BE" w:rsidRPr="0010627E" w:rsidRDefault="000118BE" w:rsidP="00A8553B">
      <w:pPr>
        <w:tabs>
          <w:tab w:val="left" w:pos="-316"/>
          <w:tab w:val="left" w:pos="0"/>
          <w:tab w:val="num" w:pos="44"/>
        </w:tabs>
        <w:bidi/>
        <w:spacing w:line="360" w:lineRule="auto"/>
        <w:ind w:left="44"/>
        <w:jc w:val="both"/>
        <w:rPr>
          <w:rFonts w:ascii="Arial" w:eastAsia="Calibri" w:hAnsi="Arial"/>
          <w:b/>
          <w:bCs/>
          <w:sz w:val="24"/>
          <w:rtl/>
        </w:rPr>
      </w:pPr>
      <w:r w:rsidRPr="0010627E">
        <w:rPr>
          <w:rFonts w:ascii="Arial" w:eastAsia="Calibri" w:hAnsi="Arial" w:hint="cs"/>
          <w:b/>
          <w:bCs/>
          <w:sz w:val="24"/>
          <w:rtl/>
        </w:rPr>
        <w:t>על פי ההלכה הפסוקה, כאשר פסק דין מטיל חיוב כספי על המבקש, הנטייה היא שלא לעכב את ביצוע הפסק, אלא אם כן יוכח שהמבקש לא יוכל לגבות את כספו אם יזכה בערעור.</w:t>
      </w:r>
    </w:p>
    <w:p w:rsidR="000118BE" w:rsidRPr="0010627E" w:rsidRDefault="000118BE" w:rsidP="00A8553B">
      <w:pPr>
        <w:tabs>
          <w:tab w:val="left" w:pos="-316"/>
          <w:tab w:val="left" w:pos="0"/>
          <w:tab w:val="num" w:pos="44"/>
        </w:tabs>
        <w:bidi/>
        <w:spacing w:line="360" w:lineRule="auto"/>
        <w:ind w:left="44"/>
        <w:jc w:val="both"/>
        <w:rPr>
          <w:rFonts w:ascii="Arial" w:eastAsia="Calibri" w:hAnsi="Arial"/>
          <w:b/>
          <w:bCs/>
          <w:sz w:val="24"/>
          <w:rtl/>
        </w:rPr>
      </w:pPr>
      <w:r w:rsidRPr="0010627E">
        <w:rPr>
          <w:rFonts w:ascii="Arial" w:eastAsia="Calibri" w:hAnsi="Arial" w:hint="cs"/>
          <w:b/>
          <w:bCs/>
          <w:sz w:val="24"/>
          <w:rtl/>
        </w:rPr>
        <w:t xml:space="preserve">בענייננו, בית הדין הארצי הורה על עיכוב ביצוע התשלומים המגיעים לעובד, בכפוף לכך שהסכום המעוכב יופקד בקופת בית הדין, לאחר שמצא כי אם יתקבל הערעור, תתקשה המעסיקה לגבות את הכספים מהעובד בשל הכנסתו הנמוכה יחסית. </w:t>
      </w:r>
    </w:p>
    <w:p w:rsidR="000118BE" w:rsidRDefault="000118BE" w:rsidP="00A8553B">
      <w:pPr>
        <w:tabs>
          <w:tab w:val="left" w:pos="62"/>
          <w:tab w:val="left" w:pos="90"/>
        </w:tabs>
        <w:bidi/>
        <w:spacing w:line="360" w:lineRule="auto"/>
        <w:ind w:left="62"/>
        <w:jc w:val="both"/>
        <w:rPr>
          <w:sz w:val="22"/>
          <w:szCs w:val="22"/>
          <w:rtl/>
        </w:rPr>
      </w:pPr>
      <w:r w:rsidRPr="0010627E">
        <w:rPr>
          <w:rFonts w:hint="cs"/>
          <w:sz w:val="22"/>
          <w:szCs w:val="22"/>
          <w:rtl/>
        </w:rPr>
        <w:t xml:space="preserve">עע (ארצי) 37977-10-13 </w:t>
      </w:r>
      <w:r w:rsidRPr="0010627E">
        <w:rPr>
          <w:color w:val="FF0000"/>
          <w:sz w:val="22"/>
          <w:szCs w:val="22"/>
        </w:rPr>
        <w:t>●</w:t>
      </w:r>
      <w:r w:rsidRPr="0010627E">
        <w:rPr>
          <w:rFonts w:hint="cs"/>
          <w:sz w:val="22"/>
          <w:szCs w:val="22"/>
          <w:rtl/>
        </w:rPr>
        <w:t xml:space="preserve"> </w:t>
      </w:r>
      <w:r w:rsidRPr="00977C9F">
        <w:rPr>
          <w:rFonts w:hint="cs"/>
          <w:b/>
          <w:bCs/>
          <w:sz w:val="22"/>
          <w:szCs w:val="22"/>
          <w:rtl/>
        </w:rPr>
        <w:t>אפדור בע"מ נ' יוסף קובה</w:t>
      </w:r>
      <w:r w:rsidRPr="0010627E">
        <w:rPr>
          <w:rFonts w:hint="cs"/>
          <w:sz w:val="22"/>
          <w:szCs w:val="22"/>
          <w:rtl/>
        </w:rPr>
        <w:t xml:space="preserve"> (17.11.13) </w:t>
      </w:r>
      <w:r w:rsidRPr="0010627E">
        <w:rPr>
          <w:sz w:val="22"/>
          <w:szCs w:val="22"/>
        </w:rPr>
        <w:t xml:space="preserve"> </w:t>
      </w:r>
      <w:r w:rsidRPr="0010627E">
        <w:rPr>
          <w:color w:val="FF0000"/>
          <w:sz w:val="22"/>
          <w:szCs w:val="22"/>
        </w:rPr>
        <w:t>●</w:t>
      </w:r>
      <w:r w:rsidRPr="0010627E">
        <w:rPr>
          <w:rFonts w:hint="cs"/>
          <w:sz w:val="22"/>
          <w:szCs w:val="22"/>
          <w:rtl/>
        </w:rPr>
        <w:t>בפני כבוד השופט עמירם רבינוביץ</w:t>
      </w:r>
    </w:p>
    <w:p w:rsidR="000118BE" w:rsidRDefault="000118BE" w:rsidP="0060178B">
      <w:pPr>
        <w:tabs>
          <w:tab w:val="left" w:pos="62"/>
          <w:tab w:val="left" w:pos="90"/>
        </w:tabs>
        <w:bidi/>
        <w:spacing w:line="360" w:lineRule="auto"/>
        <w:jc w:val="both"/>
        <w:rPr>
          <w:sz w:val="22"/>
          <w:szCs w:val="22"/>
          <w:rtl/>
        </w:rPr>
      </w:pPr>
    </w:p>
    <w:p w:rsidR="0060178B" w:rsidRDefault="0060178B" w:rsidP="0060178B">
      <w:pPr>
        <w:tabs>
          <w:tab w:val="left" w:pos="62"/>
          <w:tab w:val="left" w:pos="90"/>
        </w:tabs>
        <w:bidi/>
        <w:spacing w:line="360" w:lineRule="auto"/>
        <w:jc w:val="both"/>
        <w:rPr>
          <w:sz w:val="22"/>
          <w:szCs w:val="22"/>
          <w:rtl/>
        </w:rPr>
      </w:pPr>
    </w:p>
    <w:p w:rsidR="000118BE" w:rsidRDefault="000118BE" w:rsidP="00A8553B">
      <w:pPr>
        <w:numPr>
          <w:ilvl w:val="0"/>
          <w:numId w:val="7"/>
        </w:numPr>
        <w:bidi/>
        <w:spacing w:line="360" w:lineRule="auto"/>
        <w:jc w:val="both"/>
        <w:outlineLvl w:val="0"/>
        <w:rPr>
          <w:rFonts w:ascii="David" w:hAnsi="David"/>
          <w:b/>
          <w:bCs/>
          <w:color w:val="FF0000"/>
          <w:sz w:val="32"/>
          <w:szCs w:val="26"/>
          <w:u w:val="single"/>
        </w:rPr>
      </w:pPr>
      <w:bookmarkStart w:id="155" w:name="_Toc383530638"/>
      <w:bookmarkStart w:id="156" w:name="_Toc383587183"/>
      <w:bookmarkStart w:id="157" w:name="_Toc383587388"/>
      <w:bookmarkStart w:id="158" w:name="_Toc383587830"/>
      <w:r>
        <w:rPr>
          <w:rFonts w:ascii="David" w:hAnsi="David" w:hint="cs"/>
          <w:b/>
          <w:bCs/>
          <w:color w:val="FF0000"/>
          <w:sz w:val="32"/>
          <w:szCs w:val="26"/>
          <w:u w:val="single"/>
          <w:rtl/>
        </w:rPr>
        <w:t>צירוף צדדים</w:t>
      </w:r>
      <w:bookmarkEnd w:id="155"/>
      <w:bookmarkEnd w:id="156"/>
      <w:bookmarkEnd w:id="157"/>
      <w:bookmarkEnd w:id="158"/>
    </w:p>
    <w:p w:rsidR="000118BE" w:rsidRDefault="000118BE" w:rsidP="008F590E">
      <w:pPr>
        <w:bidi/>
        <w:ind w:left="360"/>
        <w:jc w:val="both"/>
        <w:outlineLvl w:val="0"/>
        <w:rPr>
          <w:rFonts w:ascii="David" w:hAnsi="David"/>
          <w:b/>
          <w:bCs/>
          <w:color w:val="FF0000"/>
          <w:sz w:val="32"/>
          <w:szCs w:val="26"/>
          <w:u w:val="single"/>
        </w:rPr>
      </w:pPr>
    </w:p>
    <w:p w:rsidR="000118BE" w:rsidRPr="00BD3500" w:rsidRDefault="000118BE" w:rsidP="00A8553B">
      <w:pPr>
        <w:numPr>
          <w:ilvl w:val="0"/>
          <w:numId w:val="42"/>
        </w:numPr>
        <w:tabs>
          <w:tab w:val="left" w:pos="70"/>
        </w:tabs>
        <w:bidi/>
        <w:spacing w:line="360" w:lineRule="auto"/>
        <w:jc w:val="both"/>
        <w:rPr>
          <w:rFonts w:ascii="Arial" w:hAnsi="Arial"/>
          <w:b/>
          <w:bCs/>
          <w:color w:val="0000FF"/>
          <w:sz w:val="24"/>
          <w:u w:val="single"/>
          <w:rtl/>
        </w:rPr>
      </w:pPr>
      <w:r w:rsidRPr="00BD3500">
        <w:rPr>
          <w:rFonts w:ascii="Arial" w:hAnsi="Arial" w:hint="cs"/>
          <w:b/>
          <w:bCs/>
          <w:color w:val="0000FF"/>
          <w:sz w:val="24"/>
          <w:u w:val="single"/>
          <w:rtl/>
        </w:rPr>
        <w:t>צירוף גופים ציבוריים כ"ידיד בית המשפט" בהליכים בבתי הדין לעבודה</w:t>
      </w:r>
    </w:p>
    <w:p w:rsidR="000118BE" w:rsidRPr="009C7A09" w:rsidRDefault="000118BE" w:rsidP="00A8553B">
      <w:pPr>
        <w:tabs>
          <w:tab w:val="left" w:pos="62"/>
          <w:tab w:val="left" w:pos="90"/>
        </w:tabs>
        <w:bidi/>
        <w:spacing w:line="360" w:lineRule="auto"/>
        <w:ind w:left="62"/>
        <w:jc w:val="both"/>
        <w:rPr>
          <w:rFonts w:ascii="Arial" w:eastAsia="Calibri" w:hAnsi="Arial"/>
          <w:b/>
          <w:bCs/>
          <w:sz w:val="24"/>
          <w:rtl/>
        </w:rPr>
      </w:pPr>
    </w:p>
    <w:p w:rsidR="000118BE" w:rsidRPr="004200D8" w:rsidRDefault="000118BE" w:rsidP="00A8553B">
      <w:pPr>
        <w:tabs>
          <w:tab w:val="left" w:pos="-316"/>
          <w:tab w:val="left" w:pos="0"/>
          <w:tab w:val="num" w:pos="44"/>
        </w:tabs>
        <w:bidi/>
        <w:spacing w:line="360" w:lineRule="auto"/>
        <w:ind w:left="44"/>
        <w:jc w:val="both"/>
        <w:rPr>
          <w:rFonts w:ascii="Arial" w:eastAsia="Calibri" w:hAnsi="Arial"/>
          <w:b/>
          <w:bCs/>
          <w:sz w:val="24"/>
          <w:rtl/>
        </w:rPr>
      </w:pPr>
      <w:r>
        <w:rPr>
          <w:rFonts w:ascii="Arial" w:eastAsia="Calibri" w:hAnsi="Arial" w:hint="cs"/>
          <w:b/>
          <w:bCs/>
          <w:sz w:val="24"/>
          <w:rtl/>
        </w:rPr>
        <w:t>בי</w:t>
      </w:r>
      <w:r w:rsidRPr="004200D8">
        <w:rPr>
          <w:rFonts w:ascii="Arial" w:eastAsia="Calibri" w:hAnsi="Arial" w:hint="cs"/>
          <w:b/>
          <w:bCs/>
          <w:sz w:val="24"/>
          <w:rtl/>
        </w:rPr>
        <w:t xml:space="preserve">ת הדין הארצי הורה לצרף את האגודה לזכויות האזרח כ"ידידת בית המשפט" בבקשת רשות ערעור. המדובר בתביעה של עובדות בעיריית שדרות נגד חיובן למסור טביעת אצבע עם הנהגת שעון נוכחות ביומטרי. העובדות ערערו על דחיית הבקשה לצו זמני, שיחייב את העירייה עד לסיום ההליך לשלם את שכרן גם ללא רישום נוכחות ביומטרי. בית הדין פסק, כי לאור מומחיותה וניסיונה של האגודה לזכויות האזרח, הרי שבהצטרפותה להליך יהיה כדי לתרום תרומה בעלת משמעות לסוגיה. זאת, נוכח העובדה כי מדובר בגוף ציבורי המייצג את האינטרסים הרלוונטיים לעניין הנדון והמהווים אינטרסים ציבוריים חשובים ולאור השלכותיה החשובות של ההכרעה בסוגיה שבענייננו. </w:t>
      </w:r>
      <w:r w:rsidRPr="004200D8">
        <w:rPr>
          <w:rFonts w:ascii="Arial" w:eastAsia="Calibri" w:hAnsi="Arial" w:hint="cs"/>
          <w:b/>
          <w:bCs/>
          <w:sz w:val="24"/>
          <w:rtl/>
        </w:rPr>
        <w:lastRenderedPageBreak/>
        <w:t xml:space="preserve">יצויין, כי לאחרונה הורה גם ביה"ד האזורי לעבודה בחיפה על צירוף איגוד המשתמשים בתובלה ימית בתפזורת לשינוע גרעינים ומספוא לסכסוך קיבוצי בין נמל חיפה לוועדי העובדים, שהורו על הפסקה של פריקת מטענים בתפזורת בנחל קישון. (ס"ק 2716-05-13) </w:t>
      </w:r>
    </w:p>
    <w:p w:rsidR="000118BE" w:rsidRPr="004200D8" w:rsidRDefault="000118BE" w:rsidP="00A8553B">
      <w:pPr>
        <w:tabs>
          <w:tab w:val="left" w:pos="-316"/>
          <w:tab w:val="left" w:pos="0"/>
          <w:tab w:val="num" w:pos="44"/>
        </w:tabs>
        <w:bidi/>
        <w:spacing w:line="360" w:lineRule="auto"/>
        <w:ind w:left="44"/>
        <w:jc w:val="both"/>
        <w:rPr>
          <w:rFonts w:ascii="Arial" w:eastAsia="Calibri" w:hAnsi="Arial"/>
          <w:b/>
          <w:bCs/>
          <w:sz w:val="24"/>
          <w:rtl/>
        </w:rPr>
      </w:pPr>
      <w:r w:rsidRPr="004200D8">
        <w:rPr>
          <w:rFonts w:ascii="Arial" w:eastAsia="Calibri" w:hAnsi="Arial" w:hint="cs"/>
          <w:b/>
          <w:bCs/>
          <w:sz w:val="24"/>
          <w:rtl/>
        </w:rPr>
        <w:t xml:space="preserve">בשני המקרים, </w:t>
      </w:r>
      <w:r w:rsidRPr="004200D8">
        <w:rPr>
          <w:rFonts w:ascii="Arial" w:eastAsia="Calibri" w:hAnsi="Arial"/>
          <w:b/>
          <w:bCs/>
          <w:sz w:val="24"/>
          <w:rtl/>
        </w:rPr>
        <w:t>מדובר בגופים צ</w:t>
      </w:r>
      <w:r w:rsidRPr="004200D8">
        <w:rPr>
          <w:rFonts w:ascii="Arial" w:eastAsia="Calibri" w:hAnsi="Arial" w:hint="cs"/>
          <w:b/>
          <w:bCs/>
          <w:sz w:val="24"/>
          <w:rtl/>
        </w:rPr>
        <w:t>י</w:t>
      </w:r>
      <w:r w:rsidRPr="004200D8">
        <w:rPr>
          <w:rFonts w:ascii="Arial" w:eastAsia="Calibri" w:hAnsi="Arial"/>
          <w:b/>
          <w:bCs/>
          <w:sz w:val="24"/>
          <w:rtl/>
        </w:rPr>
        <w:t>בוריים</w:t>
      </w:r>
      <w:r w:rsidRPr="004200D8">
        <w:rPr>
          <w:rFonts w:ascii="Arial" w:eastAsia="Calibri" w:hAnsi="Arial" w:hint="cs"/>
          <w:b/>
          <w:bCs/>
          <w:sz w:val="24"/>
          <w:rtl/>
        </w:rPr>
        <w:t xml:space="preserve">, בעלי </w:t>
      </w:r>
      <w:r w:rsidRPr="004200D8">
        <w:rPr>
          <w:rFonts w:ascii="Arial" w:eastAsia="Calibri" w:hAnsi="Arial"/>
          <w:b/>
          <w:bCs/>
          <w:sz w:val="24"/>
          <w:rtl/>
        </w:rPr>
        <w:t>מומחיות ויכולת תרומה משמעית לסוגי</w:t>
      </w:r>
      <w:r w:rsidRPr="004200D8">
        <w:rPr>
          <w:rFonts w:ascii="Arial" w:eastAsia="Calibri" w:hAnsi="Arial" w:hint="cs"/>
          <w:b/>
          <w:bCs/>
          <w:sz w:val="24"/>
          <w:rtl/>
        </w:rPr>
        <w:t>ות אשר התבררו בבתי הדין לעבודה</w:t>
      </w:r>
      <w:r w:rsidRPr="004200D8">
        <w:rPr>
          <w:rFonts w:ascii="Arial" w:eastAsia="Calibri" w:hAnsi="Arial"/>
          <w:b/>
          <w:bCs/>
          <w:sz w:val="24"/>
          <w:rtl/>
        </w:rPr>
        <w:t>.</w:t>
      </w:r>
      <w:r w:rsidRPr="004200D8">
        <w:rPr>
          <w:rFonts w:ascii="Arial" w:eastAsia="Calibri" w:hAnsi="Arial" w:hint="cs"/>
          <w:b/>
          <w:bCs/>
          <w:sz w:val="24"/>
          <w:rtl/>
        </w:rPr>
        <w:t xml:space="preserve"> </w:t>
      </w:r>
    </w:p>
    <w:p w:rsidR="000118BE" w:rsidRDefault="000118BE" w:rsidP="00A8553B">
      <w:pPr>
        <w:tabs>
          <w:tab w:val="left" w:pos="-316"/>
          <w:tab w:val="left" w:pos="0"/>
          <w:tab w:val="num" w:pos="44"/>
        </w:tabs>
        <w:bidi/>
        <w:spacing w:line="360" w:lineRule="auto"/>
        <w:ind w:left="44"/>
        <w:jc w:val="both"/>
        <w:rPr>
          <w:rFonts w:ascii="Arial" w:eastAsia="Calibri" w:hAnsi="Arial"/>
          <w:b/>
          <w:bCs/>
          <w:sz w:val="24"/>
          <w:rtl/>
        </w:rPr>
      </w:pPr>
      <w:r>
        <w:rPr>
          <w:rFonts w:ascii="David" w:hAnsi="David" w:hint="cs"/>
          <w:color w:val="000000"/>
          <w:sz w:val="22"/>
          <w:szCs w:val="22"/>
          <w:rtl/>
        </w:rPr>
        <w:t>בר"ע</w:t>
      </w:r>
      <w:r w:rsidRPr="004A40C4">
        <w:rPr>
          <w:rFonts w:ascii="David" w:hAnsi="David" w:hint="cs"/>
          <w:color w:val="000000"/>
          <w:sz w:val="22"/>
          <w:szCs w:val="22"/>
          <w:rtl/>
        </w:rPr>
        <w:t xml:space="preserve"> </w:t>
      </w:r>
      <w:r>
        <w:rPr>
          <w:rFonts w:ascii="David" w:hAnsi="David" w:hint="cs"/>
          <w:color w:val="000000"/>
          <w:sz w:val="22"/>
          <w:szCs w:val="22"/>
          <w:rtl/>
        </w:rPr>
        <w:t>44667-05-13</w:t>
      </w:r>
      <w:r w:rsidRPr="004A40C4">
        <w:rPr>
          <w:rFonts w:hint="cs"/>
          <w:color w:val="FF0000"/>
          <w:sz w:val="22"/>
          <w:szCs w:val="22"/>
          <w:rtl/>
        </w:rPr>
        <w:t xml:space="preserve"> </w:t>
      </w:r>
      <w:r w:rsidRPr="004A40C4">
        <w:rPr>
          <w:color w:val="FF0000"/>
          <w:sz w:val="22"/>
          <w:szCs w:val="22"/>
        </w:rPr>
        <w:t>●</w:t>
      </w:r>
      <w:r w:rsidRPr="004A40C4">
        <w:rPr>
          <w:rFonts w:ascii="David" w:hAnsi="David" w:hint="cs"/>
          <w:color w:val="000000"/>
          <w:sz w:val="22"/>
          <w:szCs w:val="22"/>
          <w:rtl/>
        </w:rPr>
        <w:t xml:space="preserve"> </w:t>
      </w:r>
      <w:r>
        <w:rPr>
          <w:rFonts w:ascii="David" w:hAnsi="David" w:hint="cs"/>
          <w:b/>
          <w:bCs/>
          <w:color w:val="000000"/>
          <w:sz w:val="22"/>
          <w:szCs w:val="22"/>
          <w:rtl/>
        </w:rPr>
        <w:t>האגודה לזכויות האזרח נ' בת-חן שחר ואח'</w:t>
      </w:r>
      <w:r w:rsidRPr="004A40C4">
        <w:rPr>
          <w:rFonts w:ascii="David" w:hAnsi="David" w:hint="cs"/>
          <w:color w:val="000000"/>
          <w:sz w:val="22"/>
          <w:szCs w:val="22"/>
          <w:rtl/>
        </w:rPr>
        <w:t xml:space="preserve"> (</w:t>
      </w:r>
      <w:r>
        <w:rPr>
          <w:rFonts w:ascii="David" w:hAnsi="David" w:hint="cs"/>
          <w:color w:val="000000"/>
          <w:sz w:val="22"/>
          <w:szCs w:val="22"/>
          <w:rtl/>
        </w:rPr>
        <w:t>23</w:t>
      </w:r>
      <w:r w:rsidRPr="004A40C4">
        <w:rPr>
          <w:rFonts w:ascii="David" w:hAnsi="David" w:hint="cs"/>
          <w:color w:val="000000"/>
          <w:sz w:val="22"/>
          <w:szCs w:val="22"/>
          <w:rtl/>
        </w:rPr>
        <w:t>.6.13)</w:t>
      </w:r>
      <w:r w:rsidRPr="004A40C4">
        <w:rPr>
          <w:rFonts w:hint="cs"/>
          <w:color w:val="FF0000"/>
          <w:sz w:val="22"/>
          <w:szCs w:val="22"/>
          <w:rtl/>
        </w:rPr>
        <w:t xml:space="preserve"> </w:t>
      </w:r>
      <w:r w:rsidRPr="004A40C4">
        <w:rPr>
          <w:color w:val="FF0000"/>
          <w:sz w:val="22"/>
          <w:szCs w:val="22"/>
        </w:rPr>
        <w:t xml:space="preserve"> ●</w:t>
      </w:r>
      <w:r w:rsidRPr="004A40C4">
        <w:rPr>
          <w:rFonts w:ascii="David" w:hAnsi="David" w:hint="cs"/>
          <w:color w:val="000000"/>
          <w:sz w:val="22"/>
          <w:szCs w:val="22"/>
          <w:rtl/>
        </w:rPr>
        <w:t>בפני כבוד השופט</w:t>
      </w:r>
      <w:r>
        <w:rPr>
          <w:rFonts w:ascii="David" w:hAnsi="David" w:hint="cs"/>
          <w:color w:val="000000"/>
          <w:sz w:val="22"/>
          <w:szCs w:val="22"/>
          <w:rtl/>
        </w:rPr>
        <w:t>ת</w:t>
      </w:r>
      <w:r w:rsidRPr="004A40C4">
        <w:rPr>
          <w:rFonts w:ascii="David" w:hAnsi="David" w:hint="cs"/>
          <w:color w:val="000000"/>
          <w:sz w:val="22"/>
          <w:szCs w:val="22"/>
          <w:rtl/>
        </w:rPr>
        <w:t xml:space="preserve"> </w:t>
      </w:r>
      <w:r>
        <w:rPr>
          <w:rFonts w:ascii="David" w:hAnsi="David" w:hint="cs"/>
          <w:color w:val="000000"/>
          <w:sz w:val="22"/>
          <w:szCs w:val="22"/>
          <w:rtl/>
        </w:rPr>
        <w:t>ורדה וירט-ליבנה</w:t>
      </w:r>
    </w:p>
    <w:p w:rsidR="000118BE" w:rsidRDefault="000118BE" w:rsidP="00A8553B">
      <w:pPr>
        <w:tabs>
          <w:tab w:val="left" w:pos="-316"/>
          <w:tab w:val="left" w:pos="0"/>
          <w:tab w:val="num" w:pos="44"/>
        </w:tabs>
        <w:bidi/>
        <w:spacing w:line="360" w:lineRule="auto"/>
        <w:ind w:left="44"/>
        <w:jc w:val="both"/>
        <w:rPr>
          <w:rFonts w:ascii="Arial" w:eastAsia="Calibri" w:hAnsi="Arial"/>
          <w:b/>
          <w:bCs/>
          <w:sz w:val="24"/>
          <w:rtl/>
        </w:rPr>
      </w:pPr>
    </w:p>
    <w:p w:rsidR="007A0CE8" w:rsidRDefault="007A0CE8" w:rsidP="00A8553B">
      <w:pPr>
        <w:numPr>
          <w:ilvl w:val="0"/>
          <w:numId w:val="7"/>
        </w:numPr>
        <w:bidi/>
        <w:spacing w:line="360" w:lineRule="auto"/>
        <w:jc w:val="both"/>
        <w:outlineLvl w:val="0"/>
        <w:rPr>
          <w:rFonts w:ascii="David" w:hAnsi="David"/>
          <w:b/>
          <w:bCs/>
          <w:color w:val="FF0000"/>
          <w:sz w:val="32"/>
          <w:szCs w:val="26"/>
          <w:u w:val="single"/>
        </w:rPr>
      </w:pPr>
      <w:r>
        <w:rPr>
          <w:rFonts w:ascii="David" w:hAnsi="David" w:hint="cs"/>
          <w:b/>
          <w:bCs/>
          <w:color w:val="FF0000"/>
          <w:sz w:val="32"/>
          <w:szCs w:val="26"/>
          <w:u w:val="single"/>
          <w:rtl/>
        </w:rPr>
        <w:t>סעד</w:t>
      </w:r>
    </w:p>
    <w:p w:rsidR="007A0CE8" w:rsidRPr="00BD3500" w:rsidRDefault="007A0CE8" w:rsidP="00A8553B">
      <w:pPr>
        <w:bidi/>
        <w:spacing w:line="360" w:lineRule="auto"/>
        <w:ind w:left="360"/>
        <w:jc w:val="both"/>
        <w:outlineLvl w:val="0"/>
        <w:rPr>
          <w:rFonts w:ascii="David" w:hAnsi="David"/>
          <w:b/>
          <w:bCs/>
          <w:color w:val="0000FF"/>
          <w:sz w:val="32"/>
          <w:szCs w:val="26"/>
          <w:u w:val="single"/>
        </w:rPr>
      </w:pPr>
    </w:p>
    <w:p w:rsidR="007A0CE8" w:rsidRPr="00BD3500" w:rsidRDefault="007A0CE8" w:rsidP="00A8553B">
      <w:pPr>
        <w:pStyle w:val="af7"/>
        <w:numPr>
          <w:ilvl w:val="0"/>
          <w:numId w:val="45"/>
        </w:numPr>
        <w:tabs>
          <w:tab w:val="left" w:pos="70"/>
        </w:tabs>
        <w:bidi/>
        <w:spacing w:line="360" w:lineRule="auto"/>
        <w:jc w:val="both"/>
        <w:rPr>
          <w:rFonts w:ascii="Arial" w:hAnsi="Arial"/>
          <w:b/>
          <w:bCs/>
          <w:color w:val="0000FF"/>
          <w:sz w:val="24"/>
          <w:u w:val="single"/>
          <w:rtl/>
        </w:rPr>
      </w:pPr>
      <w:r w:rsidRPr="00BD3500">
        <w:rPr>
          <w:rFonts w:ascii="Arial" w:hAnsi="Arial" w:hint="cs"/>
          <w:b/>
          <w:bCs/>
          <w:color w:val="0000FF"/>
          <w:sz w:val="24"/>
          <w:u w:val="single"/>
          <w:rtl/>
        </w:rPr>
        <w:t>נתבע שסרב למסור מספר זהות- סירוב המקשה על אכיפה- חויב ב-5,000 ₪</w:t>
      </w:r>
    </w:p>
    <w:p w:rsidR="007A0CE8" w:rsidRPr="009C7A09" w:rsidRDefault="007A0CE8" w:rsidP="00A8553B">
      <w:pPr>
        <w:tabs>
          <w:tab w:val="left" w:pos="62"/>
          <w:tab w:val="left" w:pos="90"/>
        </w:tabs>
        <w:bidi/>
        <w:spacing w:line="360" w:lineRule="auto"/>
        <w:ind w:left="62"/>
        <w:jc w:val="both"/>
        <w:rPr>
          <w:rFonts w:ascii="Arial" w:eastAsia="Calibri" w:hAnsi="Arial"/>
          <w:b/>
          <w:bCs/>
          <w:sz w:val="24"/>
          <w:rtl/>
        </w:rPr>
      </w:pPr>
    </w:p>
    <w:p w:rsidR="00E303A0" w:rsidRPr="00E303A0" w:rsidRDefault="00E303A0" w:rsidP="00A8553B">
      <w:pPr>
        <w:tabs>
          <w:tab w:val="left" w:pos="-316"/>
          <w:tab w:val="left" w:pos="0"/>
          <w:tab w:val="num" w:pos="44"/>
        </w:tabs>
        <w:bidi/>
        <w:spacing w:line="360" w:lineRule="auto"/>
        <w:ind w:left="44"/>
        <w:jc w:val="both"/>
        <w:rPr>
          <w:rFonts w:ascii="Arial" w:eastAsia="Calibri" w:hAnsi="Arial"/>
          <w:b/>
          <w:bCs/>
          <w:sz w:val="24"/>
          <w:rtl/>
        </w:rPr>
      </w:pPr>
      <w:r w:rsidRPr="00E303A0">
        <w:rPr>
          <w:rFonts w:ascii="Arial" w:eastAsia="Calibri" w:hAnsi="Arial" w:hint="cs"/>
          <w:b/>
          <w:bCs/>
          <w:sz w:val="24"/>
          <w:rtl/>
        </w:rPr>
        <w:t xml:space="preserve">בית הדין הארצי לעבודה קיבל ערעור עובד על פסק-דין של בית-הדין האזורי ופסק, כי </w:t>
      </w:r>
      <w:r w:rsidRPr="00E303A0">
        <w:rPr>
          <w:rFonts w:ascii="Arial" w:eastAsia="Calibri" w:hAnsi="Arial"/>
          <w:b/>
          <w:bCs/>
          <w:sz w:val="24"/>
          <w:rtl/>
        </w:rPr>
        <w:t xml:space="preserve">בעוד שעל התובע לציין בכתב תביעתו את מספר הזהות ואת מענו של הנתבע רק אם עלה בידו לבררם, הרי שהחובה המוטלת על הנתבע למסור את מספר זהותו במסגרת כתב ההגנה שהגיש, היא </w:t>
      </w:r>
      <w:r w:rsidRPr="00E303A0">
        <w:rPr>
          <w:rFonts w:ascii="Arial" w:eastAsia="Calibri" w:hAnsi="Arial" w:hint="cs"/>
          <w:b/>
          <w:bCs/>
          <w:sz w:val="24"/>
          <w:rtl/>
        </w:rPr>
        <w:t xml:space="preserve">חובה </w:t>
      </w:r>
      <w:r w:rsidRPr="00E303A0">
        <w:rPr>
          <w:rFonts w:ascii="Arial" w:eastAsia="Calibri" w:hAnsi="Arial"/>
          <w:b/>
          <w:bCs/>
          <w:sz w:val="24"/>
          <w:rtl/>
        </w:rPr>
        <w:t xml:space="preserve">מוחלטת. </w:t>
      </w:r>
    </w:p>
    <w:p w:rsidR="00E303A0" w:rsidRPr="00E303A0" w:rsidRDefault="00E303A0" w:rsidP="00A8553B">
      <w:pPr>
        <w:tabs>
          <w:tab w:val="left" w:pos="-316"/>
          <w:tab w:val="left" w:pos="0"/>
          <w:tab w:val="num" w:pos="44"/>
        </w:tabs>
        <w:bidi/>
        <w:spacing w:line="360" w:lineRule="auto"/>
        <w:ind w:left="44"/>
        <w:jc w:val="both"/>
        <w:rPr>
          <w:rFonts w:ascii="Arial" w:eastAsia="Calibri" w:hAnsi="Arial"/>
          <w:b/>
          <w:bCs/>
          <w:sz w:val="24"/>
          <w:rtl/>
        </w:rPr>
      </w:pPr>
      <w:r w:rsidRPr="00E303A0">
        <w:rPr>
          <w:rFonts w:ascii="Arial" w:eastAsia="Calibri" w:hAnsi="Arial" w:hint="cs"/>
          <w:b/>
          <w:bCs/>
          <w:sz w:val="24"/>
          <w:rtl/>
        </w:rPr>
        <w:t xml:space="preserve">המבקשת, מטפלת סיעודית, ביקשה מבית הדין האזורי לעבודה כי יורה לנתבעים להמציא לה ולבית הדין את מספרי הזהות שלהם ואת פרטי כתובתם העדכנית. לדבריה, היה ויינתן פסק דין לטובתה בהעדר הפרטים המבוקשים, לא תוכל לאכוף את ביצועו. בית הדין האזורי סירב לבקשתה והמטפלת הגישה ערעור. המשיבים הגישו הודעה בה ציינו את פרטי מספרי הזהות שלהם, ובקשו למחוק את ערעור המטפלת ללא צו להוצאות. </w:t>
      </w:r>
    </w:p>
    <w:p w:rsidR="00E303A0" w:rsidRPr="00E303A0" w:rsidRDefault="00E303A0" w:rsidP="00A8553B">
      <w:pPr>
        <w:tabs>
          <w:tab w:val="left" w:pos="-316"/>
          <w:tab w:val="left" w:pos="0"/>
          <w:tab w:val="num" w:pos="44"/>
        </w:tabs>
        <w:bidi/>
        <w:spacing w:line="360" w:lineRule="auto"/>
        <w:ind w:left="44"/>
        <w:jc w:val="both"/>
        <w:rPr>
          <w:rFonts w:ascii="Arial" w:eastAsia="Calibri" w:hAnsi="Arial"/>
          <w:b/>
          <w:bCs/>
          <w:sz w:val="24"/>
          <w:rtl/>
        </w:rPr>
      </w:pPr>
      <w:r w:rsidRPr="00E303A0">
        <w:rPr>
          <w:rFonts w:ascii="Arial" w:eastAsia="Calibri" w:hAnsi="Arial" w:hint="cs"/>
          <w:b/>
          <w:bCs/>
          <w:sz w:val="24"/>
          <w:rtl/>
        </w:rPr>
        <w:t xml:space="preserve">אף שלגופו של עניין מסרו המשיבים בסופו של דבר את מספרי הזהות שלהם, הרי שבשל חשיבות העניין החליט ביה"ד הארצי לדון בערעור כבערעור ופסק, כי המקרה דנן נופל בגדרם של אותם מקרים חריגים המצדיקים את התערבות בית הדין הארצי בהחלטת בית הדין קמא. נקבע, כי נכונה טענת המערערת כי בהעדר מספרי הזהות של המשיבים יקשה עליה להיפרע מהם, היה ויינתן פסק דין לטובתה. כמו כן, בידוע הוא כי יש לציין את פרטי החייב על פי פסק הדין כפי שהם מופיעים במרשם האוכלוסין, שאם לא כן, לא תתקבל בלשכת ההוצאה לפועל בקשה לביצוע פסק הדין ופסק הדין לא ניתן יהא למימוש ואכיפה. בנוסף נקבע כי צודקת המערערת גם בדבריה כי מדיניותם של בתי הדין היא לסייע לצדדים לממש זכויותיהם, במיוחד אם מדובר בצדדים חלשים, שאם לא כן, נמצא בית הדין עושה מלאכתו עקר. </w:t>
      </w:r>
    </w:p>
    <w:p w:rsidR="00E303A0" w:rsidRPr="00E303A0" w:rsidRDefault="00E303A0" w:rsidP="00A8553B">
      <w:pPr>
        <w:tabs>
          <w:tab w:val="left" w:pos="-316"/>
          <w:tab w:val="left" w:pos="0"/>
          <w:tab w:val="num" w:pos="44"/>
        </w:tabs>
        <w:bidi/>
        <w:spacing w:line="360" w:lineRule="auto"/>
        <w:ind w:left="44"/>
        <w:jc w:val="both"/>
        <w:rPr>
          <w:rFonts w:ascii="Arial" w:eastAsia="Calibri" w:hAnsi="Arial"/>
          <w:b/>
          <w:bCs/>
          <w:sz w:val="24"/>
          <w:rtl/>
        </w:rPr>
      </w:pPr>
      <w:r w:rsidRPr="00E303A0">
        <w:rPr>
          <w:rFonts w:ascii="Arial" w:eastAsia="Calibri" w:hAnsi="Arial" w:hint="cs"/>
          <w:b/>
          <w:bCs/>
          <w:sz w:val="24"/>
          <w:rtl/>
        </w:rPr>
        <w:t>כנגד המשיבים נפסקו הוצאות הערעור בסך של 5,000₪.</w:t>
      </w:r>
    </w:p>
    <w:p w:rsidR="00E303A0" w:rsidRPr="004200D8" w:rsidRDefault="00E303A0" w:rsidP="00A8553B">
      <w:pPr>
        <w:tabs>
          <w:tab w:val="left" w:pos="-316"/>
          <w:tab w:val="left" w:pos="0"/>
          <w:tab w:val="num" w:pos="44"/>
        </w:tabs>
        <w:bidi/>
        <w:spacing w:line="360" w:lineRule="auto"/>
        <w:ind w:left="44"/>
        <w:jc w:val="both"/>
        <w:rPr>
          <w:rFonts w:ascii="Arial" w:eastAsia="Calibri" w:hAnsi="Arial"/>
          <w:b/>
          <w:bCs/>
          <w:sz w:val="24"/>
          <w:rtl/>
        </w:rPr>
      </w:pPr>
      <w:r>
        <w:rPr>
          <w:rFonts w:ascii="David" w:hAnsi="David" w:hint="cs"/>
          <w:color w:val="000000"/>
          <w:sz w:val="22"/>
          <w:szCs w:val="22"/>
          <w:rtl/>
        </w:rPr>
        <w:t>ע"ע 54015-04-13</w:t>
      </w:r>
      <w:r>
        <w:rPr>
          <w:rFonts w:hint="cs"/>
          <w:color w:val="FF0000"/>
          <w:sz w:val="22"/>
          <w:szCs w:val="22"/>
          <w:rtl/>
        </w:rPr>
        <w:t xml:space="preserve"> </w:t>
      </w:r>
      <w:r w:rsidRPr="004A3CD9">
        <w:rPr>
          <w:color w:val="FF0000"/>
          <w:sz w:val="22"/>
          <w:szCs w:val="22"/>
        </w:rPr>
        <w:t>●</w:t>
      </w:r>
      <w:r w:rsidRPr="004A3CD9">
        <w:rPr>
          <w:rFonts w:hint="cs"/>
          <w:color w:val="2B003A"/>
          <w:sz w:val="22"/>
          <w:szCs w:val="22"/>
          <w:rtl/>
        </w:rPr>
        <w:t xml:space="preserve"> </w:t>
      </w:r>
      <w:r>
        <w:rPr>
          <w:rFonts w:ascii="David" w:hAnsi="David" w:hint="cs"/>
          <w:b/>
          <w:bCs/>
          <w:color w:val="000000"/>
          <w:sz w:val="22"/>
          <w:szCs w:val="22"/>
          <w:rtl/>
        </w:rPr>
        <w:t>א.ג'. נגד</w:t>
      </w:r>
      <w:r w:rsidRPr="00524963">
        <w:rPr>
          <w:rFonts w:ascii="David" w:hAnsi="David" w:hint="cs"/>
          <w:b/>
          <w:bCs/>
          <w:color w:val="000000"/>
          <w:sz w:val="22"/>
          <w:szCs w:val="22"/>
          <w:rtl/>
        </w:rPr>
        <w:t xml:space="preserve"> א.ט. ואח'</w:t>
      </w:r>
      <w:r w:rsidRPr="002D18AF">
        <w:rPr>
          <w:rFonts w:ascii="David" w:hAnsi="David" w:hint="cs"/>
          <w:color w:val="000000"/>
          <w:sz w:val="22"/>
          <w:szCs w:val="22"/>
          <w:rtl/>
        </w:rPr>
        <w:t xml:space="preserve"> (</w:t>
      </w:r>
      <w:r>
        <w:rPr>
          <w:rFonts w:ascii="David" w:hAnsi="David" w:hint="cs"/>
          <w:color w:val="000000"/>
          <w:sz w:val="22"/>
          <w:szCs w:val="22"/>
          <w:rtl/>
        </w:rPr>
        <w:t>19.5.13</w:t>
      </w:r>
      <w:r w:rsidRPr="002D18AF">
        <w:rPr>
          <w:rFonts w:ascii="David" w:hAnsi="David" w:hint="cs"/>
          <w:color w:val="000000"/>
          <w:sz w:val="22"/>
          <w:szCs w:val="22"/>
          <w:rtl/>
        </w:rPr>
        <w:t xml:space="preserve">) </w:t>
      </w:r>
      <w:r w:rsidRPr="002D18AF">
        <w:rPr>
          <w:rFonts w:ascii="David" w:hAnsi="David"/>
          <w:color w:val="000000"/>
          <w:sz w:val="22"/>
          <w:szCs w:val="22"/>
        </w:rPr>
        <w:t xml:space="preserve"> </w:t>
      </w:r>
      <w:r w:rsidRPr="004A3CD9">
        <w:rPr>
          <w:color w:val="FF0000"/>
          <w:sz w:val="22"/>
          <w:szCs w:val="22"/>
        </w:rPr>
        <w:t>●</w:t>
      </w:r>
      <w:r w:rsidRPr="002D18AF">
        <w:rPr>
          <w:rFonts w:ascii="David" w:hAnsi="David" w:hint="cs"/>
          <w:color w:val="000000"/>
          <w:sz w:val="22"/>
          <w:szCs w:val="22"/>
          <w:rtl/>
        </w:rPr>
        <w:t>בפני כבוד</w:t>
      </w:r>
      <w:r>
        <w:rPr>
          <w:rFonts w:ascii="David" w:hAnsi="David" w:hint="cs"/>
          <w:color w:val="000000"/>
          <w:sz w:val="22"/>
          <w:szCs w:val="22"/>
          <w:rtl/>
        </w:rPr>
        <w:t xml:space="preserve"> הנשיאה נילי ארד, השופטת</w:t>
      </w:r>
      <w:r w:rsidRPr="00A55BDE">
        <w:rPr>
          <w:rFonts w:hint="cs"/>
          <w:b/>
          <w:bCs/>
          <w:sz w:val="28"/>
          <w:szCs w:val="28"/>
          <w:rtl/>
        </w:rPr>
        <w:t xml:space="preserve"> </w:t>
      </w:r>
      <w:r w:rsidRPr="00A55BDE">
        <w:rPr>
          <w:rFonts w:ascii="David" w:hAnsi="David" w:hint="cs"/>
          <w:color w:val="000000"/>
          <w:sz w:val="22"/>
          <w:szCs w:val="22"/>
          <w:rtl/>
        </w:rPr>
        <w:t>ורדה וירט-ליבנה</w:t>
      </w:r>
      <w:r>
        <w:rPr>
          <w:rFonts w:ascii="David" w:hAnsi="David" w:hint="cs"/>
          <w:color w:val="000000"/>
          <w:sz w:val="22"/>
          <w:szCs w:val="22"/>
          <w:rtl/>
        </w:rPr>
        <w:t xml:space="preserve"> , השופטת יעל אנגלברג שהם, </w:t>
      </w:r>
      <w:r w:rsidRPr="002D18AF">
        <w:rPr>
          <w:rFonts w:ascii="David" w:hAnsi="David" w:hint="cs"/>
          <w:color w:val="000000"/>
          <w:sz w:val="22"/>
          <w:szCs w:val="22"/>
          <w:rtl/>
        </w:rPr>
        <w:t>נ.</w:t>
      </w:r>
      <w:r>
        <w:rPr>
          <w:rFonts w:ascii="David" w:hAnsi="David" w:hint="cs"/>
          <w:color w:val="000000"/>
          <w:sz w:val="22"/>
          <w:szCs w:val="22"/>
          <w:rtl/>
        </w:rPr>
        <w:t>ע</w:t>
      </w:r>
      <w:r w:rsidRPr="002D18AF">
        <w:rPr>
          <w:rFonts w:ascii="David" w:hAnsi="David" w:hint="cs"/>
          <w:color w:val="000000"/>
          <w:sz w:val="22"/>
          <w:szCs w:val="22"/>
          <w:rtl/>
        </w:rPr>
        <w:t xml:space="preserve">. </w:t>
      </w:r>
      <w:r>
        <w:rPr>
          <w:rFonts w:ascii="David" w:hAnsi="David" w:hint="cs"/>
          <w:color w:val="000000"/>
          <w:sz w:val="22"/>
          <w:szCs w:val="22"/>
          <w:rtl/>
        </w:rPr>
        <w:t>מר איתן כרמון, נ.מ מר דן בר-סלע</w:t>
      </w:r>
    </w:p>
    <w:p w:rsidR="0060178B" w:rsidRDefault="0060178B" w:rsidP="0060178B">
      <w:pPr>
        <w:tabs>
          <w:tab w:val="left" w:pos="257"/>
        </w:tabs>
        <w:bidi/>
        <w:spacing w:line="360" w:lineRule="auto"/>
        <w:jc w:val="both"/>
        <w:rPr>
          <w:rFonts w:ascii="David" w:hAnsi="David"/>
          <w:b/>
          <w:bCs/>
          <w:color w:val="FF0000"/>
          <w:sz w:val="32"/>
          <w:szCs w:val="26"/>
          <w:u w:val="single"/>
          <w:rtl/>
        </w:rPr>
      </w:pPr>
    </w:p>
    <w:p w:rsidR="00287A86" w:rsidRDefault="00287A86" w:rsidP="00287A86">
      <w:pPr>
        <w:tabs>
          <w:tab w:val="left" w:pos="257"/>
        </w:tabs>
        <w:bidi/>
        <w:spacing w:line="360" w:lineRule="auto"/>
        <w:jc w:val="both"/>
        <w:rPr>
          <w:rFonts w:ascii="David" w:hAnsi="David"/>
          <w:b/>
          <w:bCs/>
          <w:color w:val="FF0000"/>
          <w:sz w:val="32"/>
          <w:szCs w:val="26"/>
          <w:u w:val="single"/>
          <w:rtl/>
        </w:rPr>
      </w:pPr>
    </w:p>
    <w:p w:rsidR="000118BE" w:rsidRPr="00BD3500" w:rsidRDefault="000118BE" w:rsidP="00A8553B">
      <w:pPr>
        <w:pStyle w:val="2"/>
        <w:rPr>
          <w:color w:val="0000FF"/>
        </w:rPr>
      </w:pPr>
      <w:bookmarkStart w:id="159" w:name="_Toc228152705"/>
      <w:bookmarkStart w:id="160" w:name="_Toc383530639"/>
      <w:bookmarkStart w:id="161" w:name="_Toc383587184"/>
      <w:bookmarkStart w:id="162" w:name="_Toc383587389"/>
      <w:bookmarkStart w:id="163" w:name="_Toc383587831"/>
      <w:r w:rsidRPr="00BD3500">
        <w:rPr>
          <w:rFonts w:hint="cs"/>
          <w:color w:val="0000FF"/>
          <w:rtl/>
        </w:rPr>
        <w:lastRenderedPageBreak/>
        <w:t>ביטוח לאומי</w:t>
      </w:r>
      <w:bookmarkEnd w:id="159"/>
      <w:bookmarkEnd w:id="160"/>
      <w:bookmarkEnd w:id="161"/>
      <w:bookmarkEnd w:id="162"/>
      <w:bookmarkEnd w:id="163"/>
    </w:p>
    <w:p w:rsidR="000118BE" w:rsidRDefault="000118BE" w:rsidP="00A8553B">
      <w:pPr>
        <w:bidi/>
        <w:spacing w:line="360" w:lineRule="auto"/>
        <w:jc w:val="both"/>
        <w:outlineLvl w:val="1"/>
        <w:rPr>
          <w:rFonts w:ascii="David" w:hAnsi="David"/>
          <w:b/>
          <w:bCs/>
          <w:sz w:val="36"/>
          <w:szCs w:val="30"/>
          <w:u w:val="single"/>
          <w:rtl/>
        </w:rPr>
      </w:pPr>
      <w:r>
        <w:rPr>
          <w:rFonts w:ascii="David" w:hAnsi="David"/>
          <w:b/>
          <w:bCs/>
          <w:sz w:val="36"/>
          <w:szCs w:val="30"/>
          <w:u w:val="single"/>
          <w:rtl/>
        </w:rPr>
        <w:fldChar w:fldCharType="begin"/>
      </w:r>
      <w:r>
        <w:instrText xml:space="preserve"> TC "</w:instrText>
      </w:r>
      <w:bookmarkStart w:id="164" w:name="_Toc228528549"/>
      <w:r w:rsidRPr="00AA2004">
        <w:rPr>
          <w:rFonts w:ascii="David" w:hAnsi="David" w:hint="cs"/>
          <w:b/>
          <w:bCs/>
          <w:sz w:val="36"/>
          <w:szCs w:val="30"/>
          <w:u w:val="single"/>
          <w:rtl/>
        </w:rPr>
        <w:instrText>ביטוח לאומי</w:instrText>
      </w:r>
      <w:bookmarkEnd w:id="164"/>
      <w:r>
        <w:instrText xml:space="preserve">" \f C \l "1" </w:instrText>
      </w:r>
      <w:r>
        <w:rPr>
          <w:rFonts w:ascii="David" w:hAnsi="David"/>
          <w:b/>
          <w:bCs/>
          <w:sz w:val="36"/>
          <w:szCs w:val="30"/>
          <w:u w:val="single"/>
          <w:rtl/>
        </w:rPr>
        <w:fldChar w:fldCharType="end"/>
      </w:r>
    </w:p>
    <w:p w:rsidR="000118BE" w:rsidRDefault="000118BE" w:rsidP="00A8553B">
      <w:pPr>
        <w:numPr>
          <w:ilvl w:val="0"/>
          <w:numId w:val="8"/>
        </w:numPr>
        <w:bidi/>
        <w:spacing w:line="360" w:lineRule="auto"/>
        <w:jc w:val="both"/>
        <w:outlineLvl w:val="2"/>
        <w:rPr>
          <w:rFonts w:ascii="David" w:hAnsi="David"/>
          <w:b/>
          <w:bCs/>
          <w:color w:val="FF0000"/>
          <w:sz w:val="32"/>
          <w:szCs w:val="26"/>
          <w:u w:val="single"/>
        </w:rPr>
      </w:pPr>
      <w:r w:rsidRPr="007132F8">
        <w:rPr>
          <w:rFonts w:ascii="David" w:hAnsi="David"/>
          <w:b/>
          <w:bCs/>
          <w:color w:val="FF0000"/>
          <w:sz w:val="32"/>
          <w:szCs w:val="26"/>
          <w:u w:val="single"/>
        </w:rPr>
        <w:fldChar w:fldCharType="begin"/>
      </w:r>
      <w:r w:rsidRPr="007132F8">
        <w:rPr>
          <w:rFonts w:ascii="David" w:hAnsi="David"/>
          <w:b/>
          <w:bCs/>
          <w:color w:val="FF0000"/>
          <w:sz w:val="32"/>
          <w:szCs w:val="26"/>
          <w:u w:val="single"/>
        </w:rPr>
        <w:instrText xml:space="preserve"> TC "</w:instrText>
      </w:r>
      <w:bookmarkStart w:id="165" w:name="_Toc228528550"/>
      <w:r w:rsidRPr="007132F8">
        <w:rPr>
          <w:rFonts w:ascii="David" w:hAnsi="David" w:hint="cs"/>
          <w:b/>
          <w:bCs/>
          <w:color w:val="FF0000"/>
          <w:sz w:val="32"/>
          <w:szCs w:val="26"/>
          <w:u w:val="single"/>
          <w:rtl/>
        </w:rPr>
        <w:instrText>תאונות עבודה</w:instrText>
      </w:r>
      <w:bookmarkEnd w:id="165"/>
      <w:r w:rsidRPr="007132F8">
        <w:rPr>
          <w:rFonts w:ascii="David" w:hAnsi="David"/>
          <w:b/>
          <w:bCs/>
          <w:color w:val="FF0000"/>
          <w:sz w:val="32"/>
          <w:szCs w:val="26"/>
          <w:u w:val="single"/>
        </w:rPr>
        <w:instrText xml:space="preserve">" \f C \l "1" </w:instrText>
      </w:r>
      <w:r w:rsidRPr="007132F8">
        <w:rPr>
          <w:rFonts w:ascii="David" w:hAnsi="David"/>
          <w:b/>
          <w:bCs/>
          <w:color w:val="FF0000"/>
          <w:sz w:val="32"/>
          <w:szCs w:val="26"/>
          <w:u w:val="single"/>
        </w:rPr>
        <w:fldChar w:fldCharType="end"/>
      </w:r>
      <w:bookmarkStart w:id="166" w:name="_Toc383530640"/>
      <w:bookmarkStart w:id="167" w:name="_Toc383587185"/>
      <w:bookmarkStart w:id="168" w:name="_Toc383587390"/>
      <w:bookmarkStart w:id="169" w:name="_Toc383587832"/>
      <w:r w:rsidRPr="007132F8">
        <w:rPr>
          <w:rFonts w:ascii="David" w:hAnsi="David" w:hint="cs"/>
          <w:b/>
          <w:bCs/>
          <w:color w:val="FF0000"/>
          <w:sz w:val="32"/>
          <w:szCs w:val="26"/>
          <w:u w:val="single"/>
          <w:rtl/>
        </w:rPr>
        <w:t>דמי אבטלה</w:t>
      </w:r>
      <w:bookmarkEnd w:id="166"/>
      <w:bookmarkEnd w:id="167"/>
      <w:bookmarkEnd w:id="168"/>
      <w:bookmarkEnd w:id="169"/>
    </w:p>
    <w:p w:rsidR="000118BE" w:rsidRDefault="000118BE" w:rsidP="008F590E">
      <w:pPr>
        <w:bidi/>
        <w:jc w:val="both"/>
        <w:outlineLvl w:val="2"/>
        <w:rPr>
          <w:rFonts w:ascii="David" w:hAnsi="David"/>
          <w:b/>
          <w:bCs/>
          <w:color w:val="FF0000"/>
          <w:sz w:val="32"/>
          <w:szCs w:val="26"/>
          <w:u w:val="single"/>
        </w:rPr>
      </w:pPr>
    </w:p>
    <w:p w:rsidR="000118BE" w:rsidRPr="00BD3500" w:rsidRDefault="000118BE" w:rsidP="00A8553B">
      <w:pPr>
        <w:numPr>
          <w:ilvl w:val="0"/>
          <w:numId w:val="25"/>
        </w:numPr>
        <w:tabs>
          <w:tab w:val="left" w:pos="70"/>
        </w:tabs>
        <w:bidi/>
        <w:spacing w:line="360" w:lineRule="auto"/>
        <w:jc w:val="both"/>
        <w:rPr>
          <w:rFonts w:ascii="Arial" w:hAnsi="Arial"/>
          <w:b/>
          <w:bCs/>
          <w:color w:val="0000FF"/>
          <w:sz w:val="24"/>
          <w:u w:val="single"/>
        </w:rPr>
      </w:pPr>
      <w:r w:rsidRPr="00BD3500">
        <w:rPr>
          <w:rFonts w:ascii="Arial" w:hAnsi="Arial" w:hint="cs"/>
          <w:b/>
          <w:bCs/>
          <w:color w:val="0000FF"/>
          <w:sz w:val="24"/>
          <w:u w:val="single"/>
          <w:rtl/>
        </w:rPr>
        <w:t xml:space="preserve">עובדת בחופשה ללא תשלום לאחר חופשת לידה תוכר כזכאית לדמי אבטלה אם החופשה נכפתה עליה שלא מרצונה </w:t>
      </w:r>
    </w:p>
    <w:p w:rsidR="000118BE" w:rsidRPr="008F590E" w:rsidRDefault="000118BE" w:rsidP="008F590E">
      <w:pPr>
        <w:bidi/>
        <w:jc w:val="both"/>
        <w:outlineLvl w:val="2"/>
        <w:rPr>
          <w:rFonts w:ascii="David" w:hAnsi="David"/>
          <w:b/>
          <w:bCs/>
          <w:color w:val="FF0000"/>
          <w:sz w:val="32"/>
          <w:szCs w:val="26"/>
          <w:u w:val="single"/>
          <w:rtl/>
        </w:rPr>
      </w:pPr>
    </w:p>
    <w:p w:rsidR="000118BE" w:rsidRPr="00015500" w:rsidRDefault="000118BE" w:rsidP="00A8553B">
      <w:pPr>
        <w:tabs>
          <w:tab w:val="left" w:pos="62"/>
          <w:tab w:val="left" w:pos="90"/>
        </w:tabs>
        <w:bidi/>
        <w:spacing w:line="360" w:lineRule="auto"/>
        <w:jc w:val="both"/>
        <w:rPr>
          <w:rFonts w:ascii="Arial" w:eastAsia="Calibri" w:hAnsi="Arial"/>
          <w:b/>
          <w:bCs/>
          <w:sz w:val="24"/>
          <w:rtl/>
        </w:rPr>
      </w:pPr>
      <w:r w:rsidRPr="00015500">
        <w:rPr>
          <w:rFonts w:ascii="Arial" w:eastAsia="Calibri" w:hAnsi="Arial" w:hint="cs"/>
          <w:b/>
          <w:bCs/>
          <w:sz w:val="24"/>
          <w:rtl/>
        </w:rPr>
        <w:t xml:space="preserve">בית הדין הארצי לעבודה דחה ערעורה של מורה, אשר תבעה תשלום דמי אבטלה בתקופה בה שהתה בחופשה ללא תשלום לאחר חופשת לידה. </w:t>
      </w:r>
    </w:p>
    <w:p w:rsidR="000118BE" w:rsidRPr="00015500" w:rsidRDefault="000118BE" w:rsidP="00A8553B">
      <w:pPr>
        <w:tabs>
          <w:tab w:val="left" w:pos="62"/>
          <w:tab w:val="left" w:pos="90"/>
        </w:tabs>
        <w:bidi/>
        <w:spacing w:line="360" w:lineRule="auto"/>
        <w:jc w:val="both"/>
        <w:rPr>
          <w:rFonts w:ascii="Arial" w:eastAsia="Calibri" w:hAnsi="Arial"/>
          <w:b/>
          <w:bCs/>
          <w:sz w:val="24"/>
          <w:rtl/>
        </w:rPr>
      </w:pPr>
      <w:r w:rsidRPr="00015500">
        <w:rPr>
          <w:rFonts w:ascii="Arial" w:eastAsia="Calibri" w:hAnsi="Arial" w:hint="cs"/>
          <w:b/>
          <w:bCs/>
          <w:sz w:val="24"/>
          <w:rtl/>
        </w:rPr>
        <w:t xml:space="preserve">בית הדין הארצי קבע, כי </w:t>
      </w:r>
      <w:r w:rsidRPr="00015500">
        <w:rPr>
          <w:rFonts w:ascii="Arial" w:eastAsia="Calibri" w:hAnsi="Arial"/>
          <w:b/>
          <w:bCs/>
          <w:sz w:val="24"/>
          <w:rtl/>
        </w:rPr>
        <w:t xml:space="preserve">שאלת הזכאות לדמי אבטלה בתקופת ההיעדרות לאחר חופשת לידה, אם בכלל, לא תיבחן לפי הוראות חוק עבודת נשים אלא על יסוד התשתית הנורמטיבית העומדת בבסיס הזכאות לדמי אבטלה, כפי שהיא באה לידי ביטוי בהוראות חוק הביטוח הלאומי ובפסיקה, והכל תוך שימת לב לנסיבות המקרה הספציפי, </w:t>
      </w:r>
      <w:r w:rsidRPr="00015500">
        <w:rPr>
          <w:rFonts w:ascii="Arial" w:eastAsia="Calibri" w:hAnsi="Arial" w:hint="cs"/>
          <w:b/>
          <w:bCs/>
          <w:sz w:val="24"/>
          <w:rtl/>
        </w:rPr>
        <w:t>בעיקר ל</w:t>
      </w:r>
      <w:r w:rsidRPr="00015500">
        <w:rPr>
          <w:rFonts w:ascii="Arial" w:eastAsia="Calibri" w:hAnsi="Arial"/>
          <w:b/>
          <w:bCs/>
          <w:sz w:val="24"/>
          <w:rtl/>
        </w:rPr>
        <w:t>סיבה שבגינה יצאו העובדת או העובד ממעגל העבודה</w:t>
      </w:r>
      <w:r w:rsidRPr="00015500">
        <w:rPr>
          <w:rFonts w:ascii="Arial" w:eastAsia="Calibri" w:hAnsi="Arial" w:hint="cs"/>
          <w:b/>
          <w:bCs/>
          <w:sz w:val="24"/>
          <w:rtl/>
        </w:rPr>
        <w:t>, מבחירה או בכפיה</w:t>
      </w:r>
      <w:r w:rsidRPr="00015500">
        <w:rPr>
          <w:rFonts w:ascii="Arial" w:eastAsia="Calibri" w:hAnsi="Arial"/>
          <w:b/>
          <w:bCs/>
          <w:sz w:val="24"/>
          <w:rtl/>
        </w:rPr>
        <w:t xml:space="preserve">. </w:t>
      </w:r>
    </w:p>
    <w:p w:rsidR="000118BE" w:rsidRPr="00015500" w:rsidRDefault="000118BE" w:rsidP="00A8553B">
      <w:pPr>
        <w:tabs>
          <w:tab w:val="left" w:pos="62"/>
          <w:tab w:val="left" w:pos="90"/>
        </w:tabs>
        <w:bidi/>
        <w:spacing w:line="360" w:lineRule="auto"/>
        <w:jc w:val="both"/>
        <w:rPr>
          <w:rFonts w:ascii="Arial" w:eastAsia="Calibri" w:hAnsi="Arial"/>
          <w:b/>
          <w:bCs/>
          <w:sz w:val="24"/>
          <w:rtl/>
        </w:rPr>
      </w:pPr>
      <w:r w:rsidRPr="00015500">
        <w:rPr>
          <w:rFonts w:ascii="Arial" w:eastAsia="Calibri" w:hAnsi="Arial"/>
          <w:b/>
          <w:bCs/>
          <w:sz w:val="24"/>
          <w:rtl/>
        </w:rPr>
        <w:t>מתוך ראיית התכלית של דמי האבטלה לאפשר לעובדים קיום בכבוד עקב הוצאתם בניגוד לרצונם מחוץ למעגל העבודה, הורחבה בפסיקה הזכאות לדמי אבטלה תוך שנקבע כי "מובטל" הינו גם עובד שהוצא לחופשה ללא תשלום בניגוד לרצונו. בתקופת חופשה ללא תשלום יחסי עובד מעביד אינם מנותקים, ואין מדובר בפיטורים או בהתפטרות, כי אם בהשעיית יחסי העבודה. בכל זאת, ועל מנת לאפשר קיום בכבוד לעובד שיצא בעל כורחו לחופשה ללא תשלום, קמה לו</w:t>
      </w:r>
      <w:r w:rsidRPr="00015500">
        <w:rPr>
          <w:rFonts w:ascii="Arial" w:eastAsia="Calibri" w:hAnsi="Arial" w:hint="cs"/>
          <w:b/>
          <w:bCs/>
          <w:sz w:val="24"/>
          <w:rtl/>
        </w:rPr>
        <w:t xml:space="preserve"> </w:t>
      </w:r>
      <w:r w:rsidRPr="00015500">
        <w:rPr>
          <w:rFonts w:ascii="Arial" w:eastAsia="Calibri" w:hAnsi="Arial"/>
          <w:b/>
          <w:bCs/>
          <w:sz w:val="24"/>
          <w:rtl/>
        </w:rPr>
        <w:t xml:space="preserve">זכאות לדמי אבטלה. </w:t>
      </w:r>
    </w:p>
    <w:p w:rsidR="000118BE" w:rsidRPr="00015500" w:rsidRDefault="000118BE" w:rsidP="00A8553B">
      <w:pPr>
        <w:tabs>
          <w:tab w:val="left" w:pos="62"/>
          <w:tab w:val="left" w:pos="90"/>
        </w:tabs>
        <w:bidi/>
        <w:spacing w:line="360" w:lineRule="auto"/>
        <w:jc w:val="both"/>
        <w:rPr>
          <w:rFonts w:ascii="Arial" w:eastAsia="Calibri" w:hAnsi="Arial"/>
          <w:b/>
          <w:bCs/>
          <w:sz w:val="24"/>
          <w:rtl/>
        </w:rPr>
      </w:pPr>
      <w:r w:rsidRPr="00015500">
        <w:rPr>
          <w:rFonts w:ascii="Arial" w:eastAsia="Calibri" w:hAnsi="Arial" w:hint="cs"/>
          <w:b/>
          <w:bCs/>
          <w:sz w:val="24"/>
          <w:rtl/>
        </w:rPr>
        <w:t xml:space="preserve">בענייננו, היעדרות המורה מן העבודה לאחר חופשת הלידה לא נכפתה עליה והיא אף </w:t>
      </w:r>
      <w:r w:rsidRPr="00015500">
        <w:rPr>
          <w:rFonts w:ascii="Arial" w:eastAsia="Calibri" w:hAnsi="Arial"/>
          <w:b/>
          <w:bCs/>
          <w:sz w:val="24"/>
          <w:rtl/>
        </w:rPr>
        <w:t xml:space="preserve">לא הביאה </w:t>
      </w:r>
      <w:r w:rsidRPr="00015500">
        <w:rPr>
          <w:rFonts w:ascii="Arial" w:eastAsia="Calibri" w:hAnsi="Arial" w:hint="cs"/>
          <w:b/>
          <w:bCs/>
          <w:sz w:val="24"/>
          <w:rtl/>
        </w:rPr>
        <w:t>ולו</w:t>
      </w:r>
      <w:r w:rsidRPr="00015500">
        <w:rPr>
          <w:rFonts w:ascii="Arial" w:eastAsia="Calibri" w:hAnsi="Arial"/>
          <w:b/>
          <w:bCs/>
          <w:sz w:val="24"/>
          <w:rtl/>
        </w:rPr>
        <w:t xml:space="preserve"> ראשית ראיה לכך שיציאתה לחופשה ללא תשלום הייתה מחויבת המציאות מטעמים רפואיים או אחרים. בנסיבות אלה, </w:t>
      </w:r>
      <w:r w:rsidRPr="00015500">
        <w:rPr>
          <w:rFonts w:ascii="Arial" w:eastAsia="Calibri" w:hAnsi="Arial" w:hint="cs"/>
          <w:b/>
          <w:bCs/>
          <w:sz w:val="24"/>
          <w:rtl/>
        </w:rPr>
        <w:t>היא איננה</w:t>
      </w:r>
      <w:r w:rsidRPr="00015500">
        <w:rPr>
          <w:rFonts w:ascii="Arial" w:eastAsia="Calibri" w:hAnsi="Arial"/>
          <w:b/>
          <w:bCs/>
          <w:sz w:val="24"/>
          <w:rtl/>
        </w:rPr>
        <w:t xml:space="preserve"> זכאית לדמי אבטלה. </w:t>
      </w:r>
    </w:p>
    <w:p w:rsidR="000118BE" w:rsidRDefault="000118BE" w:rsidP="00A8553B">
      <w:pPr>
        <w:tabs>
          <w:tab w:val="left" w:pos="62"/>
          <w:tab w:val="left" w:pos="90"/>
        </w:tabs>
        <w:bidi/>
        <w:spacing w:line="360" w:lineRule="auto"/>
        <w:ind w:left="62"/>
        <w:jc w:val="both"/>
        <w:rPr>
          <w:rFonts w:ascii="David" w:hAnsi="David"/>
          <w:color w:val="000000"/>
          <w:sz w:val="22"/>
          <w:szCs w:val="22"/>
          <w:rtl/>
        </w:rPr>
      </w:pPr>
      <w:r w:rsidRPr="002A342C">
        <w:rPr>
          <w:rFonts w:ascii="David" w:hAnsi="David" w:hint="cs"/>
          <w:color w:val="000000"/>
          <w:sz w:val="22"/>
          <w:szCs w:val="22"/>
          <w:rtl/>
        </w:rPr>
        <w:t xml:space="preserve">עב"ל (ארצי) 37877-05-12 </w:t>
      </w:r>
      <w:r w:rsidRPr="0013768B">
        <w:rPr>
          <w:rFonts w:ascii="Arial" w:hAnsi="Arial" w:cs="Arial"/>
          <w:color w:val="FF0000"/>
          <w:sz w:val="22"/>
          <w:szCs w:val="22"/>
        </w:rPr>
        <w:t>●</w:t>
      </w:r>
      <w:r w:rsidRPr="0013768B">
        <w:rPr>
          <w:rFonts w:ascii="Arial" w:hAnsi="Arial" w:cs="Arial"/>
          <w:color w:val="FF0000"/>
          <w:sz w:val="22"/>
          <w:szCs w:val="22"/>
          <w:rtl/>
        </w:rPr>
        <w:t xml:space="preserve"> </w:t>
      </w:r>
      <w:r w:rsidRPr="002A342C">
        <w:rPr>
          <w:rFonts w:ascii="David" w:hAnsi="David" w:hint="cs"/>
          <w:b/>
          <w:bCs/>
          <w:color w:val="000000"/>
          <w:sz w:val="22"/>
          <w:szCs w:val="22"/>
          <w:rtl/>
        </w:rPr>
        <w:t>שושנה גנוט נ' המוסד לביטוח לאומי</w:t>
      </w:r>
      <w:r w:rsidRPr="002A342C">
        <w:rPr>
          <w:rFonts w:ascii="David" w:hAnsi="David" w:hint="cs"/>
          <w:color w:val="000000"/>
          <w:sz w:val="22"/>
          <w:szCs w:val="22"/>
          <w:rtl/>
        </w:rPr>
        <w:t xml:space="preserve"> (17.2.14) </w:t>
      </w:r>
      <w:r w:rsidRPr="0013768B">
        <w:rPr>
          <w:rFonts w:ascii="Arial" w:hAnsi="Arial" w:cs="Arial"/>
          <w:color w:val="FF0000"/>
          <w:sz w:val="22"/>
          <w:szCs w:val="22"/>
        </w:rPr>
        <w:t xml:space="preserve"> ●</w:t>
      </w:r>
      <w:r w:rsidRPr="002A342C">
        <w:rPr>
          <w:rFonts w:ascii="David" w:hAnsi="David" w:hint="cs"/>
          <w:color w:val="000000"/>
          <w:sz w:val="22"/>
          <w:szCs w:val="22"/>
          <w:rtl/>
        </w:rPr>
        <w:t>בפני כבוד הנשיא יגאל פליטמן, סגנית הנשיא ורדה וירט ליבנה, השופטת רונית רוזנפלד, נ.ע. מר אליעזר ויץ, נ.מ. מר אמיהוד אתגר</w:t>
      </w:r>
    </w:p>
    <w:p w:rsidR="00F37A9D" w:rsidRDefault="00F37A9D" w:rsidP="00F37A9D">
      <w:pPr>
        <w:tabs>
          <w:tab w:val="left" w:pos="62"/>
          <w:tab w:val="left" w:pos="90"/>
        </w:tabs>
        <w:bidi/>
        <w:spacing w:line="360" w:lineRule="auto"/>
        <w:ind w:left="62"/>
        <w:jc w:val="both"/>
        <w:rPr>
          <w:rFonts w:ascii="David" w:hAnsi="David"/>
          <w:color w:val="000000"/>
          <w:sz w:val="22"/>
          <w:szCs w:val="22"/>
          <w:rtl/>
        </w:rPr>
      </w:pPr>
    </w:p>
    <w:p w:rsidR="000118BE" w:rsidRPr="00BD3500" w:rsidRDefault="000118BE" w:rsidP="00A8553B">
      <w:pPr>
        <w:numPr>
          <w:ilvl w:val="0"/>
          <w:numId w:val="25"/>
        </w:numPr>
        <w:tabs>
          <w:tab w:val="left" w:pos="70"/>
        </w:tabs>
        <w:bidi/>
        <w:spacing w:line="360" w:lineRule="auto"/>
        <w:jc w:val="both"/>
        <w:rPr>
          <w:rFonts w:ascii="Arial" w:hAnsi="Arial"/>
          <w:b/>
          <w:bCs/>
          <w:color w:val="0000FF"/>
          <w:sz w:val="24"/>
          <w:u w:val="single"/>
        </w:rPr>
      </w:pPr>
      <w:r w:rsidRPr="00BD3500">
        <w:rPr>
          <w:rFonts w:ascii="Arial" w:hAnsi="Arial" w:hint="cs"/>
          <w:b/>
          <w:bCs/>
          <w:color w:val="0000FF"/>
          <w:sz w:val="24"/>
          <w:u w:val="single"/>
          <w:rtl/>
        </w:rPr>
        <w:t>חבר קבוץ שתופי או מתחדש אינו עובד הקיבוץ, אינו חייב בביטוח אבטלה ואינו זכאי לדמי אבטלה</w:t>
      </w:r>
    </w:p>
    <w:p w:rsidR="000118BE" w:rsidRPr="008F590E" w:rsidRDefault="000118BE" w:rsidP="008F590E">
      <w:pPr>
        <w:tabs>
          <w:tab w:val="left" w:pos="70"/>
        </w:tabs>
        <w:bidi/>
        <w:jc w:val="both"/>
        <w:rPr>
          <w:rFonts w:ascii="Arial" w:hAnsi="Arial"/>
          <w:b/>
          <w:bCs/>
          <w:color w:val="008000"/>
          <w:sz w:val="24"/>
          <w:u w:val="single"/>
          <w:rtl/>
        </w:rPr>
      </w:pPr>
    </w:p>
    <w:p w:rsidR="000118BE" w:rsidRPr="00502D33" w:rsidRDefault="000118BE" w:rsidP="00A8553B">
      <w:pPr>
        <w:tabs>
          <w:tab w:val="left" w:pos="62"/>
          <w:tab w:val="left" w:pos="90"/>
        </w:tabs>
        <w:bidi/>
        <w:spacing w:line="360" w:lineRule="auto"/>
        <w:jc w:val="both"/>
        <w:rPr>
          <w:rFonts w:ascii="Arial" w:eastAsia="Calibri" w:hAnsi="Arial"/>
          <w:b/>
          <w:bCs/>
          <w:sz w:val="24"/>
          <w:rtl/>
        </w:rPr>
      </w:pPr>
      <w:r w:rsidRPr="00502D33">
        <w:rPr>
          <w:rFonts w:ascii="Arial" w:eastAsia="Calibri" w:hAnsi="Arial" w:hint="cs"/>
          <w:b/>
          <w:bCs/>
          <w:sz w:val="24"/>
          <w:rtl/>
        </w:rPr>
        <w:t xml:space="preserve">בית הדין הארצי לעבודה קיבל את ערעורו של </w:t>
      </w:r>
      <w:r w:rsidRPr="00502D33">
        <w:rPr>
          <w:rFonts w:ascii="Arial" w:eastAsia="Calibri" w:hAnsi="Arial"/>
          <w:b/>
          <w:bCs/>
          <w:sz w:val="24"/>
          <w:rtl/>
        </w:rPr>
        <w:t xml:space="preserve">המוסד </w:t>
      </w:r>
      <w:r w:rsidRPr="00502D33">
        <w:rPr>
          <w:rFonts w:ascii="Arial" w:eastAsia="Calibri" w:hAnsi="Arial" w:hint="cs"/>
          <w:b/>
          <w:bCs/>
          <w:sz w:val="24"/>
          <w:rtl/>
        </w:rPr>
        <w:t>לביטוח לאומי</w:t>
      </w:r>
      <w:r w:rsidRPr="00502D33">
        <w:rPr>
          <w:rFonts w:ascii="Arial" w:eastAsia="Calibri" w:hAnsi="Arial"/>
          <w:b/>
          <w:bCs/>
          <w:sz w:val="24"/>
          <w:rtl/>
        </w:rPr>
        <w:t xml:space="preserve"> על פסק דינו של בית הדין האזורי בנצרת</w:t>
      </w:r>
      <w:r w:rsidRPr="00502D33">
        <w:rPr>
          <w:rFonts w:ascii="Arial" w:eastAsia="Calibri" w:hAnsi="Arial" w:hint="cs"/>
          <w:b/>
          <w:bCs/>
          <w:sz w:val="24"/>
          <w:rtl/>
        </w:rPr>
        <w:t xml:space="preserve">, </w:t>
      </w:r>
      <w:r w:rsidRPr="00502D33">
        <w:rPr>
          <w:rFonts w:ascii="Arial" w:eastAsia="Calibri" w:hAnsi="Arial"/>
          <w:b/>
          <w:bCs/>
          <w:sz w:val="24"/>
          <w:rtl/>
        </w:rPr>
        <w:t>בו נפסק</w:t>
      </w:r>
      <w:r w:rsidRPr="00502D33">
        <w:rPr>
          <w:rFonts w:ascii="Arial" w:eastAsia="Calibri" w:hAnsi="Arial" w:hint="cs"/>
          <w:b/>
          <w:bCs/>
          <w:sz w:val="24"/>
          <w:rtl/>
        </w:rPr>
        <w:t xml:space="preserve"> </w:t>
      </w:r>
      <w:r w:rsidRPr="00502D33">
        <w:rPr>
          <w:rFonts w:ascii="Arial" w:eastAsia="Calibri" w:hAnsi="Arial"/>
          <w:b/>
          <w:bCs/>
          <w:sz w:val="24"/>
          <w:rtl/>
        </w:rPr>
        <w:t>כי חברת קיבוץ</w:t>
      </w:r>
      <w:r w:rsidRPr="00502D33">
        <w:rPr>
          <w:rFonts w:ascii="Arial" w:eastAsia="Calibri" w:hAnsi="Arial" w:hint="cs"/>
          <w:b/>
          <w:bCs/>
          <w:sz w:val="24"/>
          <w:rtl/>
        </w:rPr>
        <w:t xml:space="preserve"> אפיקים למעלה מ- 40 שנה</w:t>
      </w:r>
      <w:r w:rsidRPr="00502D33">
        <w:rPr>
          <w:rFonts w:ascii="Arial" w:eastAsia="Calibri" w:hAnsi="Arial"/>
          <w:b/>
          <w:bCs/>
          <w:sz w:val="24"/>
          <w:rtl/>
        </w:rPr>
        <w:t xml:space="preserve"> ואותו עזבה</w:t>
      </w:r>
      <w:r w:rsidRPr="00502D33">
        <w:rPr>
          <w:rFonts w:ascii="Arial" w:eastAsia="Calibri" w:hAnsi="Arial" w:hint="cs"/>
          <w:b/>
          <w:bCs/>
          <w:sz w:val="24"/>
          <w:rtl/>
        </w:rPr>
        <w:t>, נחשבת לעובדת הקיבוץ ולפיכך, על</w:t>
      </w:r>
      <w:r w:rsidRPr="00502D33">
        <w:rPr>
          <w:rFonts w:ascii="Arial" w:eastAsia="Calibri" w:hAnsi="Arial"/>
          <w:b/>
          <w:bCs/>
          <w:sz w:val="24"/>
          <w:rtl/>
        </w:rPr>
        <w:t xml:space="preserve"> המוסד</w:t>
      </w:r>
      <w:r w:rsidRPr="00502D33">
        <w:rPr>
          <w:rFonts w:ascii="Arial" w:eastAsia="Calibri" w:hAnsi="Arial" w:hint="cs"/>
          <w:b/>
          <w:bCs/>
          <w:sz w:val="24"/>
          <w:rtl/>
        </w:rPr>
        <w:t xml:space="preserve"> לביטוח לאומי</w:t>
      </w:r>
      <w:r w:rsidRPr="00502D33">
        <w:rPr>
          <w:rFonts w:ascii="Arial" w:eastAsia="Calibri" w:hAnsi="Arial"/>
          <w:b/>
          <w:bCs/>
          <w:sz w:val="24"/>
          <w:rtl/>
        </w:rPr>
        <w:t xml:space="preserve"> לשלם לה את דמי האבטלה, חרף אי תשלום דמי ביטוח אבטלה.</w:t>
      </w:r>
      <w:r w:rsidRPr="00502D33">
        <w:rPr>
          <w:rFonts w:ascii="Arial" w:eastAsia="Calibri" w:hAnsi="Arial" w:hint="cs"/>
          <w:b/>
          <w:bCs/>
          <w:sz w:val="24"/>
          <w:rtl/>
        </w:rPr>
        <w:t xml:space="preserve"> </w:t>
      </w:r>
    </w:p>
    <w:p w:rsidR="000118BE" w:rsidRPr="00902890" w:rsidRDefault="000118BE" w:rsidP="00A8553B">
      <w:pPr>
        <w:tabs>
          <w:tab w:val="left" w:pos="62"/>
          <w:tab w:val="left" w:pos="90"/>
        </w:tabs>
        <w:bidi/>
        <w:spacing w:line="360" w:lineRule="auto"/>
        <w:jc w:val="both"/>
        <w:rPr>
          <w:b/>
          <w:bCs/>
          <w:rtl/>
        </w:rPr>
      </w:pPr>
      <w:r w:rsidRPr="00502D33">
        <w:rPr>
          <w:rFonts w:ascii="Arial" w:eastAsia="Calibri" w:hAnsi="Arial" w:hint="cs"/>
          <w:b/>
          <w:bCs/>
          <w:sz w:val="24"/>
          <w:rtl/>
        </w:rPr>
        <w:t xml:space="preserve">בית הדין הארצי לעבודה פסק, כי </w:t>
      </w:r>
      <w:r w:rsidRPr="00502D33">
        <w:rPr>
          <w:rFonts w:ascii="Arial" w:eastAsia="Calibri" w:hAnsi="Arial"/>
          <w:b/>
          <w:bCs/>
          <w:sz w:val="24"/>
          <w:rtl/>
        </w:rPr>
        <w:t>ה</w:t>
      </w:r>
      <w:r w:rsidRPr="00502D33">
        <w:rPr>
          <w:rFonts w:ascii="Arial" w:eastAsia="Calibri" w:hAnsi="Arial" w:hint="cs"/>
          <w:b/>
          <w:bCs/>
          <w:sz w:val="24"/>
          <w:rtl/>
        </w:rPr>
        <w:t>תובעת</w:t>
      </w:r>
      <w:r w:rsidRPr="00502D33">
        <w:rPr>
          <w:rFonts w:ascii="Arial" w:eastAsia="Calibri" w:hAnsi="Arial"/>
          <w:b/>
          <w:bCs/>
          <w:sz w:val="24"/>
          <w:rtl/>
        </w:rPr>
        <w:t xml:space="preserve"> לא פוטרה מעבודתה במפעל</w:t>
      </w:r>
      <w:r w:rsidRPr="00502D33">
        <w:rPr>
          <w:rFonts w:ascii="Arial" w:eastAsia="Calibri" w:hAnsi="Arial" w:hint="cs"/>
          <w:b/>
          <w:bCs/>
          <w:sz w:val="24"/>
          <w:rtl/>
        </w:rPr>
        <w:t>,</w:t>
      </w:r>
      <w:r w:rsidRPr="00502D33">
        <w:rPr>
          <w:rFonts w:ascii="Arial" w:eastAsia="Calibri" w:hAnsi="Arial"/>
          <w:b/>
          <w:bCs/>
          <w:sz w:val="24"/>
          <w:rtl/>
        </w:rPr>
        <w:t xml:space="preserve"> אלא על פי סיכום עימה הסתיימה עבודתה שם עם עזיבתה את הקיבוץ עקב נישואיה</w:t>
      </w:r>
      <w:r w:rsidRPr="00502D33">
        <w:rPr>
          <w:rFonts w:ascii="Arial" w:eastAsia="Calibri" w:hAnsi="Arial" w:hint="cs"/>
          <w:b/>
          <w:bCs/>
          <w:sz w:val="24"/>
          <w:rtl/>
        </w:rPr>
        <w:t xml:space="preserve"> ובכל אופן, </w:t>
      </w:r>
      <w:r w:rsidRPr="00502D33">
        <w:rPr>
          <w:rFonts w:ascii="Arial" w:eastAsia="Calibri" w:hAnsi="Arial"/>
          <w:b/>
          <w:bCs/>
          <w:sz w:val="24"/>
          <w:rtl/>
        </w:rPr>
        <w:t>עזיבת חבר קיבוץ את קיבוצו אינה פיטוריו ממקום עבודתו.</w:t>
      </w:r>
      <w:r w:rsidRPr="00502D33">
        <w:rPr>
          <w:rFonts w:ascii="Arial" w:eastAsia="Calibri" w:hAnsi="Arial" w:hint="cs"/>
          <w:b/>
          <w:bCs/>
          <w:sz w:val="24"/>
          <w:rtl/>
        </w:rPr>
        <w:t xml:space="preserve"> זאת ועוד, </w:t>
      </w:r>
      <w:r w:rsidRPr="00502D33">
        <w:rPr>
          <w:rFonts w:ascii="Arial" w:eastAsia="Calibri" w:hAnsi="Arial"/>
          <w:b/>
          <w:bCs/>
          <w:sz w:val="24"/>
          <w:rtl/>
        </w:rPr>
        <w:t>עם עזיבתה של המשיבה את הקיבוץ, שולמו לה פיצויי עזיבה בסך של מאות אלפי שקלים</w:t>
      </w:r>
      <w:r w:rsidRPr="00502D33">
        <w:rPr>
          <w:rFonts w:ascii="Arial" w:eastAsia="Calibri" w:hAnsi="Arial" w:hint="cs"/>
          <w:b/>
          <w:bCs/>
          <w:sz w:val="24"/>
          <w:rtl/>
        </w:rPr>
        <w:t>,</w:t>
      </w:r>
      <w:r w:rsidRPr="00502D33">
        <w:rPr>
          <w:rFonts w:ascii="Arial" w:eastAsia="Calibri" w:hAnsi="Arial"/>
          <w:b/>
          <w:bCs/>
          <w:sz w:val="24"/>
          <w:rtl/>
        </w:rPr>
        <w:t xml:space="preserve"> לרבות בגין הפנסיה ואפשר אף חלף דמי אבטלה</w:t>
      </w:r>
      <w:r w:rsidRPr="00502D33">
        <w:rPr>
          <w:rFonts w:ascii="Arial" w:eastAsia="Calibri" w:hAnsi="Arial" w:hint="cs"/>
          <w:b/>
          <w:bCs/>
          <w:sz w:val="24"/>
          <w:rtl/>
        </w:rPr>
        <w:t xml:space="preserve">. בית הדין הארצי לעבודה פסק, כי </w:t>
      </w:r>
      <w:r w:rsidRPr="00502D33">
        <w:rPr>
          <w:rFonts w:ascii="Arial" w:eastAsia="Calibri" w:hAnsi="Arial"/>
          <w:b/>
          <w:bCs/>
          <w:sz w:val="24"/>
          <w:rtl/>
        </w:rPr>
        <w:t xml:space="preserve">הקיבוץ כאגודה שיתופית הינו תאגיד שחבריו בעצם מעסיקי עצמם. הוא מושתת על </w:t>
      </w:r>
      <w:r w:rsidRPr="00502D33">
        <w:rPr>
          <w:rFonts w:ascii="Arial" w:eastAsia="Calibri" w:hAnsi="Arial"/>
          <w:b/>
          <w:bCs/>
          <w:sz w:val="24"/>
          <w:rtl/>
        </w:rPr>
        <w:lastRenderedPageBreak/>
        <w:t xml:space="preserve">יסודות של ערבות הדדית </w:t>
      </w:r>
      <w:r w:rsidRPr="00502D33">
        <w:rPr>
          <w:rFonts w:ascii="Arial" w:eastAsia="Calibri" w:hAnsi="Arial" w:hint="cs"/>
          <w:b/>
          <w:bCs/>
          <w:sz w:val="24"/>
          <w:rtl/>
        </w:rPr>
        <w:t>ו</w:t>
      </w:r>
      <w:r w:rsidRPr="00502D33">
        <w:rPr>
          <w:rFonts w:ascii="Arial" w:eastAsia="Calibri" w:hAnsi="Arial"/>
          <w:b/>
          <w:bCs/>
          <w:sz w:val="24"/>
          <w:rtl/>
        </w:rPr>
        <w:t>של שיתוף</w:t>
      </w:r>
      <w:r w:rsidRPr="00502D33">
        <w:rPr>
          <w:rFonts w:ascii="Arial" w:eastAsia="Calibri" w:hAnsi="Arial" w:hint="cs"/>
          <w:b/>
          <w:bCs/>
          <w:sz w:val="24"/>
          <w:rtl/>
        </w:rPr>
        <w:t xml:space="preserve"> הכלל</w:t>
      </w:r>
      <w:r w:rsidRPr="00502D33">
        <w:rPr>
          <w:rFonts w:ascii="Arial" w:eastAsia="Calibri" w:hAnsi="Arial"/>
          <w:b/>
          <w:bCs/>
          <w:sz w:val="24"/>
          <w:rtl/>
        </w:rPr>
        <w:t>. כדי לקיים את צורת החיים המיוחדת הזו, חב חבר הקיבוץ לעבוד ולתרום מכוחו לקיבוץ באופן שאין להפריד בין החברות בקיבוץ לעבודה בו. לאור אבחנה זו, עצם עבודת חבר הקיבוץ מתוקף חברותו בקיבוץ אינה מקנה לו מעמד של "עובד" על פי משפט העבודה.</w:t>
      </w:r>
      <w:r w:rsidRPr="00502D33">
        <w:rPr>
          <w:rFonts w:ascii="Arial" w:eastAsia="Calibri" w:hAnsi="Arial" w:hint="cs"/>
          <w:b/>
          <w:bCs/>
          <w:sz w:val="24"/>
          <w:rtl/>
        </w:rPr>
        <w:t xml:space="preserve"> הלכה זו חלה לא רק על חברי קיבוץ שיתופי קלסי, אלא גם על הצורות החדשות של הקיבוץ המתחדש, השומר עדיין על עיקר הסממנים של הקיבוץ השיתופי,</w:t>
      </w:r>
      <w:r w:rsidRPr="00502D33">
        <w:rPr>
          <w:rFonts w:ascii="Arial" w:eastAsia="Calibri" w:hAnsi="Arial"/>
          <w:b/>
          <w:bCs/>
          <w:sz w:val="24"/>
          <w:rtl/>
        </w:rPr>
        <w:t xml:space="preserve"> על  עקרון הערבות ההדדית ושירותים משותפים. כל השירותים שהיו קודם לשינוי נשארו בעינם</w:t>
      </w:r>
      <w:r w:rsidRPr="00502D33">
        <w:rPr>
          <w:rFonts w:ascii="Arial" w:eastAsia="Calibri" w:hAnsi="Arial" w:hint="cs"/>
          <w:b/>
          <w:bCs/>
          <w:sz w:val="24"/>
          <w:rtl/>
        </w:rPr>
        <w:t xml:space="preserve"> וכל </w:t>
      </w:r>
      <w:r w:rsidRPr="00502D33">
        <w:rPr>
          <w:rFonts w:ascii="Arial" w:eastAsia="Calibri" w:hAnsi="Arial"/>
          <w:b/>
          <w:bCs/>
          <w:sz w:val="24"/>
          <w:rtl/>
        </w:rPr>
        <w:t xml:space="preserve">הטעמים שהצדיקו מתן פטור מתשלום דמי ביטוח אבטלה של הקיבוץ בעד חבריו במודל "אורחות חיים" נשארו בעינם גם לאחר המעבר למודל "רשת ביטחון". </w:t>
      </w:r>
      <w:r w:rsidRPr="00502D33">
        <w:rPr>
          <w:rFonts w:ascii="Arial" w:eastAsia="Calibri" w:hAnsi="Arial" w:hint="cs"/>
          <w:b/>
          <w:bCs/>
          <w:sz w:val="24"/>
          <w:rtl/>
        </w:rPr>
        <w:t xml:space="preserve">יתרה מכך, </w:t>
      </w:r>
      <w:r w:rsidRPr="00502D33">
        <w:rPr>
          <w:rFonts w:ascii="Arial" w:eastAsia="Calibri" w:hAnsi="Arial"/>
          <w:b/>
          <w:bCs/>
          <w:sz w:val="24"/>
          <w:rtl/>
        </w:rPr>
        <w:t>חבר קיבוץ הוחרג</w:t>
      </w:r>
      <w:r w:rsidRPr="00502D33">
        <w:rPr>
          <w:rFonts w:ascii="Arial" w:eastAsia="Calibri" w:hAnsi="Arial" w:hint="cs"/>
          <w:b/>
          <w:bCs/>
          <w:sz w:val="24"/>
          <w:rtl/>
        </w:rPr>
        <w:t xml:space="preserve"> </w:t>
      </w:r>
      <w:r w:rsidRPr="00502D33">
        <w:rPr>
          <w:rFonts w:ascii="Arial" w:eastAsia="Calibri" w:hAnsi="Arial"/>
          <w:b/>
          <w:bCs/>
          <w:sz w:val="24"/>
          <w:rtl/>
        </w:rPr>
        <w:t>מהדין שנקבע לגבי חבר אגודה שיתופית, לגביו נקבע כי איננו בגדר "עובד</w:t>
      </w:r>
      <w:r w:rsidRPr="00502D33">
        <w:rPr>
          <w:rFonts w:ascii="Arial" w:eastAsia="Calibri" w:hAnsi="Arial" w:hint="cs"/>
          <w:b/>
          <w:bCs/>
          <w:sz w:val="24"/>
          <w:rtl/>
        </w:rPr>
        <w:t xml:space="preserve">". </w:t>
      </w:r>
      <w:r w:rsidRPr="00502D33">
        <w:rPr>
          <w:rFonts w:ascii="Arial" w:eastAsia="Calibri" w:hAnsi="Arial"/>
          <w:b/>
          <w:bCs/>
          <w:sz w:val="24"/>
          <w:rtl/>
        </w:rPr>
        <w:t xml:space="preserve">כל עוד לא נקבע אחרת בדין וכל עוד אין סיבה לסיוג, אזי "עובד" על פי משפט עבודה צריך להיחשב גם כ"עובד" על פי </w:t>
      </w:r>
      <w:hyperlink r:id="rId34" w:history="1">
        <w:r w:rsidRPr="00502D33">
          <w:rPr>
            <w:rFonts w:ascii="Arial" w:eastAsia="Calibri" w:hAnsi="Arial"/>
            <w:b/>
            <w:bCs/>
            <w:sz w:val="24"/>
            <w:rtl/>
          </w:rPr>
          <w:t>חוק הביטוח הלאומי</w:t>
        </w:r>
      </w:hyperlink>
      <w:r w:rsidRPr="00502D33">
        <w:rPr>
          <w:rFonts w:ascii="Arial" w:eastAsia="Calibri" w:hAnsi="Arial"/>
          <w:b/>
          <w:bCs/>
          <w:sz w:val="24"/>
          <w:rtl/>
        </w:rPr>
        <w:t>.</w:t>
      </w:r>
      <w:r w:rsidRPr="00502D33">
        <w:rPr>
          <w:rFonts w:ascii="Arial" w:eastAsia="Calibri" w:hAnsi="Arial" w:hint="cs"/>
          <w:b/>
          <w:bCs/>
          <w:sz w:val="24"/>
          <w:rtl/>
        </w:rPr>
        <w:t xml:space="preserve"> זאת ועוד, </w:t>
      </w:r>
      <w:r w:rsidRPr="00502D33">
        <w:rPr>
          <w:rFonts w:ascii="Arial" w:eastAsia="Calibri" w:hAnsi="Arial"/>
          <w:b/>
          <w:bCs/>
          <w:sz w:val="24"/>
          <w:rtl/>
        </w:rPr>
        <w:t xml:space="preserve">תשלום הגמלה הגבייתית </w:t>
      </w:r>
      <w:r w:rsidRPr="00502D33">
        <w:rPr>
          <w:rFonts w:ascii="Arial" w:eastAsia="Calibri" w:hAnsi="Arial" w:hint="cs"/>
          <w:b/>
          <w:bCs/>
          <w:sz w:val="24"/>
          <w:rtl/>
        </w:rPr>
        <w:t>מושתת על עקרון היסוד</w:t>
      </w:r>
      <w:r w:rsidRPr="00502D33">
        <w:rPr>
          <w:rFonts w:ascii="Arial" w:eastAsia="Calibri" w:hAnsi="Arial"/>
          <w:b/>
          <w:bCs/>
          <w:sz w:val="24"/>
          <w:rtl/>
        </w:rPr>
        <w:t xml:space="preserve"> שבאין חובת תשלום דמי ביטוח</w:t>
      </w:r>
      <w:r w:rsidRPr="00502D33">
        <w:rPr>
          <w:rFonts w:ascii="Arial" w:eastAsia="Calibri" w:hAnsi="Arial" w:hint="cs"/>
          <w:b/>
          <w:bCs/>
          <w:sz w:val="24"/>
          <w:rtl/>
        </w:rPr>
        <w:t xml:space="preserve"> </w:t>
      </w:r>
      <w:r w:rsidRPr="00502D33">
        <w:rPr>
          <w:rFonts w:ascii="Arial" w:eastAsia="Calibri" w:hAnsi="Arial"/>
          <w:b/>
          <w:bCs/>
          <w:sz w:val="24"/>
          <w:rtl/>
        </w:rPr>
        <w:t>אין זכאות לגמלה</w:t>
      </w:r>
      <w:r w:rsidRPr="00502D33">
        <w:rPr>
          <w:rFonts w:ascii="Arial" w:eastAsia="Calibri" w:hAnsi="Arial" w:hint="cs"/>
          <w:b/>
          <w:bCs/>
          <w:sz w:val="24"/>
          <w:rtl/>
        </w:rPr>
        <w:t xml:space="preserve"> וזוהי רק סיבה נוספת לאי זכאותה של התובעת לדמי אבטלה</w:t>
      </w:r>
      <w:r w:rsidRPr="00502D33">
        <w:rPr>
          <w:rFonts w:ascii="Arial" w:eastAsia="Calibri" w:hAnsi="Arial"/>
          <w:b/>
          <w:bCs/>
          <w:sz w:val="24"/>
          <w:rtl/>
        </w:rPr>
        <w:t xml:space="preserve">. </w:t>
      </w:r>
      <w:r w:rsidRPr="00502D33">
        <w:rPr>
          <w:rFonts w:ascii="Arial" w:eastAsia="Calibri" w:hAnsi="Arial" w:hint="cs"/>
          <w:b/>
          <w:bCs/>
          <w:sz w:val="24"/>
          <w:rtl/>
        </w:rPr>
        <w:t xml:space="preserve">סיכומו של דבר, </w:t>
      </w:r>
      <w:r w:rsidRPr="00502D33">
        <w:rPr>
          <w:rFonts w:ascii="Arial" w:eastAsia="Calibri" w:hAnsi="Arial"/>
          <w:b/>
          <w:bCs/>
          <w:sz w:val="24"/>
          <w:rtl/>
        </w:rPr>
        <w:t>ערעור המוסד</w:t>
      </w:r>
      <w:r w:rsidRPr="00502D33">
        <w:rPr>
          <w:rFonts w:ascii="Arial" w:eastAsia="Calibri" w:hAnsi="Arial" w:hint="cs"/>
          <w:b/>
          <w:bCs/>
          <w:sz w:val="24"/>
          <w:rtl/>
        </w:rPr>
        <w:t xml:space="preserve"> לביטוח לאומי</w:t>
      </w:r>
      <w:r w:rsidRPr="00502D33">
        <w:rPr>
          <w:rFonts w:ascii="Arial" w:eastAsia="Calibri" w:hAnsi="Arial"/>
          <w:b/>
          <w:bCs/>
          <w:sz w:val="24"/>
          <w:rtl/>
        </w:rPr>
        <w:t xml:space="preserve"> </w:t>
      </w:r>
      <w:r w:rsidRPr="00502D33">
        <w:rPr>
          <w:rFonts w:ascii="Arial" w:eastAsia="Calibri" w:hAnsi="Arial" w:hint="cs"/>
          <w:b/>
          <w:bCs/>
          <w:sz w:val="24"/>
          <w:rtl/>
        </w:rPr>
        <w:t>ה</w:t>
      </w:r>
      <w:r w:rsidRPr="00502D33">
        <w:rPr>
          <w:rFonts w:ascii="Arial" w:eastAsia="Calibri" w:hAnsi="Arial"/>
          <w:b/>
          <w:bCs/>
          <w:sz w:val="24"/>
          <w:rtl/>
        </w:rPr>
        <w:t xml:space="preserve">תקבל ללא צו להוצאות ופסק דינו של בית הדין </w:t>
      </w:r>
      <w:r w:rsidRPr="00502D33">
        <w:rPr>
          <w:rFonts w:ascii="Arial" w:eastAsia="Calibri" w:hAnsi="Arial" w:hint="cs"/>
          <w:b/>
          <w:bCs/>
          <w:sz w:val="24"/>
          <w:rtl/>
        </w:rPr>
        <w:t>האזורי לעבודה</w:t>
      </w:r>
      <w:r w:rsidRPr="00502D33">
        <w:rPr>
          <w:rFonts w:ascii="Arial" w:eastAsia="Calibri" w:hAnsi="Arial"/>
          <w:b/>
          <w:bCs/>
          <w:sz w:val="24"/>
          <w:rtl/>
        </w:rPr>
        <w:t xml:space="preserve"> - ב</w:t>
      </w:r>
      <w:r w:rsidRPr="00502D33">
        <w:rPr>
          <w:rFonts w:ascii="Arial" w:eastAsia="Calibri" w:hAnsi="Arial" w:hint="cs"/>
          <w:b/>
          <w:bCs/>
          <w:sz w:val="24"/>
          <w:rtl/>
        </w:rPr>
        <w:t>ו</w:t>
      </w:r>
      <w:r w:rsidRPr="00502D33">
        <w:rPr>
          <w:rFonts w:ascii="Arial" w:eastAsia="Calibri" w:hAnsi="Arial"/>
          <w:b/>
          <w:bCs/>
          <w:sz w:val="24"/>
          <w:rtl/>
        </w:rPr>
        <w:t>טל.</w:t>
      </w:r>
      <w:r w:rsidRPr="00902890">
        <w:rPr>
          <w:b/>
          <w:bCs/>
          <w:rtl/>
        </w:rPr>
        <w:t xml:space="preserve"> </w:t>
      </w:r>
    </w:p>
    <w:p w:rsidR="000118BE" w:rsidRDefault="000118BE" w:rsidP="00A8553B">
      <w:pPr>
        <w:tabs>
          <w:tab w:val="left" w:pos="62"/>
          <w:tab w:val="left" w:pos="90"/>
        </w:tabs>
        <w:bidi/>
        <w:spacing w:line="360" w:lineRule="auto"/>
        <w:jc w:val="both"/>
        <w:rPr>
          <w:rFonts w:ascii="David" w:hAnsi="David"/>
          <w:color w:val="000000"/>
          <w:sz w:val="22"/>
          <w:szCs w:val="22"/>
          <w:rtl/>
        </w:rPr>
      </w:pPr>
      <w:r w:rsidRPr="004A40C4">
        <w:rPr>
          <w:rFonts w:ascii="David" w:hAnsi="David" w:hint="cs"/>
          <w:color w:val="000000"/>
          <w:sz w:val="22"/>
          <w:szCs w:val="22"/>
          <w:rtl/>
        </w:rPr>
        <w:t>אב"ל 441-08</w:t>
      </w:r>
      <w:r w:rsidRPr="004A40C4">
        <w:rPr>
          <w:rFonts w:hint="cs"/>
          <w:color w:val="FF0000"/>
          <w:sz w:val="22"/>
          <w:szCs w:val="22"/>
          <w:rtl/>
        </w:rPr>
        <w:t xml:space="preserve"> </w:t>
      </w:r>
      <w:r w:rsidRPr="004A40C4">
        <w:rPr>
          <w:color w:val="FF0000"/>
          <w:sz w:val="22"/>
          <w:szCs w:val="22"/>
        </w:rPr>
        <w:t>●</w:t>
      </w:r>
      <w:r w:rsidRPr="004A40C4">
        <w:rPr>
          <w:rFonts w:ascii="David" w:hAnsi="David" w:hint="cs"/>
          <w:color w:val="000000"/>
          <w:sz w:val="22"/>
          <w:szCs w:val="22"/>
          <w:rtl/>
        </w:rPr>
        <w:t xml:space="preserve"> </w:t>
      </w:r>
      <w:r w:rsidRPr="004A40C4">
        <w:rPr>
          <w:rFonts w:ascii="David" w:hAnsi="David" w:hint="cs"/>
          <w:b/>
          <w:bCs/>
          <w:color w:val="000000"/>
          <w:sz w:val="22"/>
          <w:szCs w:val="22"/>
          <w:rtl/>
        </w:rPr>
        <w:t>המוסד לביטוח לאומי נ' התנועה הקיבוצית ואח'</w:t>
      </w:r>
      <w:r w:rsidRPr="004A40C4">
        <w:rPr>
          <w:rFonts w:ascii="David" w:hAnsi="David" w:hint="cs"/>
          <w:color w:val="000000"/>
          <w:sz w:val="22"/>
          <w:szCs w:val="22"/>
          <w:rtl/>
        </w:rPr>
        <w:t xml:space="preserve"> (12.6.13)</w:t>
      </w:r>
      <w:r w:rsidRPr="004A40C4">
        <w:rPr>
          <w:rFonts w:hint="cs"/>
          <w:color w:val="FF0000"/>
          <w:sz w:val="22"/>
          <w:szCs w:val="22"/>
          <w:rtl/>
        </w:rPr>
        <w:t xml:space="preserve"> </w:t>
      </w:r>
      <w:r w:rsidRPr="004A40C4">
        <w:rPr>
          <w:color w:val="FF0000"/>
          <w:sz w:val="22"/>
          <w:szCs w:val="22"/>
        </w:rPr>
        <w:t xml:space="preserve"> ●</w:t>
      </w:r>
      <w:r w:rsidRPr="004A40C4">
        <w:rPr>
          <w:rFonts w:ascii="David" w:hAnsi="David" w:hint="cs"/>
          <w:color w:val="000000"/>
          <w:sz w:val="22"/>
          <w:szCs w:val="22"/>
          <w:rtl/>
        </w:rPr>
        <w:t>בפני סגן הנשיאה כבוד השופט יגאל פליטמן, השופט עמירם רבינוביץ, השופטת רונית רוזנפלד, נ.מ מר מיכה ינון, נ.ע מר ראובן רבינוביץ</w:t>
      </w:r>
    </w:p>
    <w:p w:rsidR="000118BE" w:rsidRDefault="000118BE" w:rsidP="00A8553B">
      <w:pPr>
        <w:tabs>
          <w:tab w:val="left" w:pos="62"/>
          <w:tab w:val="left" w:pos="90"/>
        </w:tabs>
        <w:bidi/>
        <w:spacing w:line="360" w:lineRule="auto"/>
        <w:ind w:left="62"/>
        <w:jc w:val="both"/>
        <w:rPr>
          <w:rFonts w:ascii="David" w:hAnsi="David"/>
          <w:color w:val="000000"/>
          <w:sz w:val="22"/>
          <w:szCs w:val="22"/>
          <w:rtl/>
        </w:rPr>
      </w:pPr>
    </w:p>
    <w:p w:rsidR="0060178B" w:rsidRDefault="0060178B" w:rsidP="0060178B">
      <w:pPr>
        <w:tabs>
          <w:tab w:val="left" w:pos="62"/>
          <w:tab w:val="left" w:pos="90"/>
        </w:tabs>
        <w:bidi/>
        <w:spacing w:line="360" w:lineRule="auto"/>
        <w:ind w:left="62"/>
        <w:jc w:val="both"/>
        <w:rPr>
          <w:rFonts w:ascii="David" w:hAnsi="David"/>
          <w:color w:val="000000"/>
          <w:sz w:val="22"/>
          <w:szCs w:val="22"/>
          <w:rtl/>
        </w:rPr>
      </w:pPr>
    </w:p>
    <w:p w:rsidR="000118BE" w:rsidRDefault="000118BE" w:rsidP="00A8553B">
      <w:pPr>
        <w:numPr>
          <w:ilvl w:val="0"/>
          <w:numId w:val="8"/>
        </w:numPr>
        <w:bidi/>
        <w:spacing w:line="360" w:lineRule="auto"/>
        <w:jc w:val="both"/>
        <w:outlineLvl w:val="2"/>
        <w:rPr>
          <w:rFonts w:ascii="David" w:hAnsi="David"/>
          <w:b/>
          <w:bCs/>
          <w:color w:val="FF0000"/>
          <w:sz w:val="32"/>
          <w:szCs w:val="26"/>
          <w:u w:val="single"/>
        </w:rPr>
      </w:pPr>
      <w:r w:rsidRPr="007132F8">
        <w:rPr>
          <w:rFonts w:ascii="David" w:hAnsi="David"/>
          <w:b/>
          <w:bCs/>
          <w:color w:val="FF0000"/>
          <w:sz w:val="32"/>
          <w:szCs w:val="26"/>
          <w:u w:val="single"/>
        </w:rPr>
        <w:fldChar w:fldCharType="begin"/>
      </w:r>
      <w:r w:rsidRPr="007132F8">
        <w:rPr>
          <w:rFonts w:ascii="David" w:hAnsi="David"/>
          <w:b/>
          <w:bCs/>
          <w:color w:val="FF0000"/>
          <w:sz w:val="32"/>
          <w:szCs w:val="26"/>
          <w:u w:val="single"/>
        </w:rPr>
        <w:instrText xml:space="preserve"> TC "</w:instrText>
      </w:r>
      <w:r w:rsidRPr="007132F8">
        <w:rPr>
          <w:rFonts w:ascii="David" w:hAnsi="David" w:hint="cs"/>
          <w:b/>
          <w:bCs/>
          <w:color w:val="FF0000"/>
          <w:sz w:val="32"/>
          <w:szCs w:val="26"/>
          <w:u w:val="single"/>
          <w:rtl/>
        </w:rPr>
        <w:instrText>תאונות עבודה</w:instrText>
      </w:r>
      <w:r w:rsidRPr="007132F8">
        <w:rPr>
          <w:rFonts w:ascii="David" w:hAnsi="David"/>
          <w:b/>
          <w:bCs/>
          <w:color w:val="FF0000"/>
          <w:sz w:val="32"/>
          <w:szCs w:val="26"/>
          <w:u w:val="single"/>
        </w:rPr>
        <w:instrText xml:space="preserve">" \f C \l "1" </w:instrText>
      </w:r>
      <w:r w:rsidRPr="007132F8">
        <w:rPr>
          <w:rFonts w:ascii="David" w:hAnsi="David"/>
          <w:b/>
          <w:bCs/>
          <w:color w:val="FF0000"/>
          <w:sz w:val="32"/>
          <w:szCs w:val="26"/>
          <w:u w:val="single"/>
        </w:rPr>
        <w:fldChar w:fldCharType="end"/>
      </w:r>
      <w:bookmarkStart w:id="170" w:name="_Toc383587186"/>
      <w:bookmarkStart w:id="171" w:name="_Toc383587391"/>
      <w:bookmarkStart w:id="172" w:name="_Toc383587833"/>
      <w:r>
        <w:rPr>
          <w:rFonts w:ascii="David" w:hAnsi="David" w:hint="cs"/>
          <w:b/>
          <w:bCs/>
          <w:color w:val="FF0000"/>
          <w:sz w:val="32"/>
          <w:szCs w:val="26"/>
          <w:u w:val="single"/>
          <w:rtl/>
        </w:rPr>
        <w:t>תאונת עבודה, לאחר שעות העבודה</w:t>
      </w:r>
      <w:bookmarkEnd w:id="170"/>
      <w:bookmarkEnd w:id="171"/>
      <w:bookmarkEnd w:id="172"/>
    </w:p>
    <w:p w:rsidR="000118BE" w:rsidRDefault="000118BE" w:rsidP="00A8553B">
      <w:pPr>
        <w:bidi/>
        <w:spacing w:line="360" w:lineRule="auto"/>
        <w:jc w:val="both"/>
        <w:outlineLvl w:val="2"/>
        <w:rPr>
          <w:rFonts w:ascii="David" w:hAnsi="David"/>
          <w:b/>
          <w:bCs/>
          <w:color w:val="FF0000"/>
          <w:sz w:val="32"/>
          <w:szCs w:val="26"/>
          <w:u w:val="single"/>
        </w:rPr>
      </w:pPr>
    </w:p>
    <w:p w:rsidR="000118BE" w:rsidRPr="00BD3500" w:rsidRDefault="000118BE" w:rsidP="00A8553B">
      <w:pPr>
        <w:numPr>
          <w:ilvl w:val="0"/>
          <w:numId w:val="44"/>
        </w:numPr>
        <w:tabs>
          <w:tab w:val="left" w:pos="70"/>
        </w:tabs>
        <w:bidi/>
        <w:spacing w:line="360" w:lineRule="auto"/>
        <w:jc w:val="both"/>
        <w:rPr>
          <w:rFonts w:ascii="Arial" w:hAnsi="Arial"/>
          <w:b/>
          <w:bCs/>
          <w:color w:val="0000FF"/>
          <w:sz w:val="24"/>
          <w:u w:val="single"/>
        </w:rPr>
      </w:pPr>
      <w:r w:rsidRPr="00BD3500">
        <w:rPr>
          <w:rFonts w:ascii="Arial" w:hAnsi="Arial" w:hint="cs"/>
          <w:b/>
          <w:bCs/>
          <w:color w:val="0000FF"/>
          <w:sz w:val="24"/>
          <w:u w:val="single"/>
          <w:rtl/>
        </w:rPr>
        <w:t>פציעת עובדת, אחרי שעות העבודה, עקב התנגדותה לשוד תיקה שהכיל סיסמאות למחשבי המעביד, הוכרה כפגיעת עבודה</w:t>
      </w:r>
    </w:p>
    <w:p w:rsidR="000118BE" w:rsidRPr="00015500" w:rsidRDefault="000118BE" w:rsidP="00A8553B">
      <w:pPr>
        <w:tabs>
          <w:tab w:val="left" w:pos="70"/>
        </w:tabs>
        <w:bidi/>
        <w:spacing w:line="360" w:lineRule="auto"/>
        <w:jc w:val="both"/>
        <w:rPr>
          <w:rFonts w:ascii="Arial" w:hAnsi="Arial"/>
          <w:b/>
          <w:bCs/>
          <w:color w:val="008000"/>
          <w:sz w:val="24"/>
          <w:u w:val="single"/>
          <w:rtl/>
        </w:rPr>
      </w:pPr>
    </w:p>
    <w:p w:rsidR="00287A86" w:rsidRDefault="000118BE" w:rsidP="00A8553B">
      <w:pPr>
        <w:bidi/>
        <w:spacing w:line="360" w:lineRule="auto"/>
        <w:ind w:left="-58"/>
        <w:jc w:val="both"/>
        <w:rPr>
          <w:rFonts w:ascii="Arial" w:eastAsia="Calibri" w:hAnsi="Arial"/>
          <w:b/>
          <w:bCs/>
          <w:sz w:val="24"/>
          <w:rtl/>
        </w:rPr>
      </w:pPr>
      <w:r w:rsidRPr="00B70CBB">
        <w:rPr>
          <w:rFonts w:ascii="Arial" w:eastAsia="Calibri" w:hAnsi="Arial" w:hint="cs"/>
          <w:b/>
          <w:bCs/>
          <w:sz w:val="24"/>
          <w:rtl/>
        </w:rPr>
        <w:t xml:space="preserve">בית הדין הארצי לעבודה קיבל ערעור עובדת על פסק-דין של בית-הדין האזורי וקבע שהעובדת ששימשה כסמנכ"ל מערכות מחשוב בחברת אופיס דיפו זכאית מהמוסד לביטוח לאומי לתשלום דמי פגיעה בגין פציעתה אחרי שעות העבודה, שארעה במהלך ניסיון לשדוד את התיק שלה, שהכיל את סיסמאות מערכות המחשוב של החברה. </w:t>
      </w:r>
    </w:p>
    <w:p w:rsidR="00287A86" w:rsidRDefault="000118BE" w:rsidP="00287A86">
      <w:pPr>
        <w:bidi/>
        <w:spacing w:line="360" w:lineRule="auto"/>
        <w:ind w:left="-58"/>
        <w:jc w:val="both"/>
        <w:rPr>
          <w:rFonts w:ascii="Arial" w:eastAsia="Calibri" w:hAnsi="Arial"/>
          <w:b/>
          <w:bCs/>
          <w:sz w:val="24"/>
          <w:rtl/>
        </w:rPr>
      </w:pPr>
      <w:r w:rsidRPr="00B70CBB">
        <w:rPr>
          <w:rFonts w:ascii="Arial" w:eastAsia="Calibri" w:hAnsi="Arial" w:hint="cs"/>
          <w:b/>
          <w:bCs/>
          <w:sz w:val="24"/>
          <w:rtl/>
        </w:rPr>
        <w:t xml:space="preserve">בית-הדין קבע כי על מנת לבחון האם אירעה פגיעת עבודה יש לבחון האם העובדת נפגעה תוך כדי ועקב עבודתה. </w:t>
      </w:r>
      <w:r w:rsidRPr="00B70CBB">
        <w:rPr>
          <w:rFonts w:ascii="Arial" w:eastAsia="Calibri" w:hAnsi="Arial"/>
          <w:b/>
          <w:bCs/>
          <w:sz w:val="24"/>
          <w:rtl/>
        </w:rPr>
        <w:t>פגיעת מבוטח עקב שוד תוכר כתאונה בעבודה ככל שיוכח על ידו כי נפגע עקב עבודתו, על פי מבחן הקשר הסיבתי.</w:t>
      </w:r>
      <w:r w:rsidRPr="00B70CBB">
        <w:rPr>
          <w:rFonts w:ascii="Arial" w:eastAsia="Calibri" w:hAnsi="Arial" w:hint="cs"/>
          <w:b/>
          <w:bCs/>
          <w:sz w:val="24"/>
          <w:rtl/>
        </w:rPr>
        <w:t xml:space="preserve"> </w:t>
      </w:r>
    </w:p>
    <w:p w:rsidR="00287A86" w:rsidRDefault="000118BE" w:rsidP="00287A86">
      <w:pPr>
        <w:bidi/>
        <w:spacing w:line="360" w:lineRule="auto"/>
        <w:ind w:left="-58"/>
        <w:jc w:val="both"/>
        <w:rPr>
          <w:rFonts w:ascii="Arial" w:eastAsia="Calibri" w:hAnsi="Arial"/>
          <w:b/>
          <w:bCs/>
          <w:sz w:val="24"/>
          <w:rtl/>
        </w:rPr>
      </w:pPr>
      <w:r w:rsidRPr="00B70CBB">
        <w:rPr>
          <w:rFonts w:ascii="Arial" w:eastAsia="Calibri" w:hAnsi="Arial"/>
          <w:b/>
          <w:bCs/>
          <w:sz w:val="24"/>
          <w:rtl/>
        </w:rPr>
        <w:t>מבחן "עקב העבודה", דהיינו, מבחן הקשר הסיבתי בין הפגיעה לתאונה אינו נבחן מנקודת מבטו של השודד אלא מנקודת מבטו של המבוטח</w:t>
      </w:r>
      <w:r w:rsidRPr="00B70CBB">
        <w:rPr>
          <w:rFonts w:ascii="Arial" w:eastAsia="Calibri" w:hAnsi="Arial" w:hint="cs"/>
          <w:b/>
          <w:bCs/>
          <w:sz w:val="24"/>
          <w:rtl/>
        </w:rPr>
        <w:t>,</w:t>
      </w:r>
      <w:r w:rsidRPr="00B70CBB">
        <w:rPr>
          <w:rFonts w:ascii="Arial" w:eastAsia="Calibri" w:hAnsi="Arial"/>
          <w:b/>
          <w:bCs/>
          <w:sz w:val="24"/>
          <w:rtl/>
        </w:rPr>
        <w:t xml:space="preserve"> כך נבחנת כל תאונה בעבודה. כוונת השודד יכול שתהיה לה השפעה על הקביעה העובדתית בדבר כוונת המבוטח המתנגד לשוד. </w:t>
      </w:r>
    </w:p>
    <w:p w:rsidR="000118BE" w:rsidRPr="00B70CBB" w:rsidRDefault="000118BE" w:rsidP="00287A86">
      <w:pPr>
        <w:bidi/>
        <w:spacing w:line="360" w:lineRule="auto"/>
        <w:ind w:left="-58"/>
        <w:jc w:val="both"/>
        <w:rPr>
          <w:rFonts w:ascii="Arial" w:eastAsia="Calibri" w:hAnsi="Arial"/>
          <w:b/>
          <w:bCs/>
          <w:sz w:val="24"/>
          <w:rtl/>
        </w:rPr>
      </w:pPr>
      <w:r w:rsidRPr="00B70CBB">
        <w:rPr>
          <w:rFonts w:ascii="Arial" w:eastAsia="Calibri" w:hAnsi="Arial"/>
          <w:b/>
          <w:bCs/>
          <w:sz w:val="24"/>
          <w:rtl/>
        </w:rPr>
        <w:t xml:space="preserve">בנסיבות המקרה </w:t>
      </w:r>
      <w:r w:rsidRPr="00B70CBB">
        <w:rPr>
          <w:rFonts w:ascii="Arial" w:eastAsia="Calibri" w:hAnsi="Arial" w:hint="cs"/>
          <w:b/>
          <w:bCs/>
          <w:sz w:val="24"/>
          <w:rtl/>
        </w:rPr>
        <w:t>הקונקרטי,</w:t>
      </w:r>
      <w:r w:rsidRPr="00B70CBB">
        <w:rPr>
          <w:rFonts w:ascii="Arial" w:eastAsia="Calibri" w:hAnsi="Arial"/>
          <w:b/>
          <w:bCs/>
          <w:sz w:val="24"/>
          <w:rtl/>
        </w:rPr>
        <w:t xml:space="preserve"> ה</w:t>
      </w:r>
      <w:r w:rsidRPr="00B70CBB">
        <w:rPr>
          <w:rFonts w:ascii="Arial" w:eastAsia="Calibri" w:hAnsi="Arial" w:hint="cs"/>
          <w:b/>
          <w:bCs/>
          <w:sz w:val="24"/>
          <w:rtl/>
        </w:rPr>
        <w:t>עובדת</w:t>
      </w:r>
      <w:r w:rsidRPr="00B70CBB">
        <w:rPr>
          <w:rFonts w:ascii="Arial" w:eastAsia="Calibri" w:hAnsi="Arial"/>
          <w:b/>
          <w:bCs/>
          <w:sz w:val="24"/>
          <w:rtl/>
        </w:rPr>
        <w:t xml:space="preserve"> נחבלה בכתפה עקב כוונתה לשמור על מערכות המחשב ואבטחת המידע עליהן היא הייתה אחראית בתוקף תפקידה באופיס דיפו. מידע זה היה מצוי בפלאפון שלה וזמין למשתמש בו. זו הייתה הסיבה העיקרית להתנגדותה לחטיפת תיקה.</w:t>
      </w:r>
      <w:r w:rsidRPr="00B70CBB">
        <w:rPr>
          <w:rFonts w:ascii="Arial" w:eastAsia="Calibri" w:hAnsi="Arial" w:hint="cs"/>
          <w:b/>
          <w:bCs/>
          <w:sz w:val="24"/>
          <w:rtl/>
        </w:rPr>
        <w:t xml:space="preserve"> לכן</w:t>
      </w:r>
      <w:r w:rsidRPr="00B70CBB">
        <w:rPr>
          <w:rFonts w:ascii="Arial" w:eastAsia="Calibri" w:hAnsi="Arial"/>
          <w:b/>
          <w:bCs/>
          <w:sz w:val="24"/>
          <w:rtl/>
        </w:rPr>
        <w:t xml:space="preserve"> קיים קשר סיבתי ישיר בין חבלת ה</w:t>
      </w:r>
      <w:r w:rsidRPr="00B70CBB">
        <w:rPr>
          <w:rFonts w:ascii="Arial" w:eastAsia="Calibri" w:hAnsi="Arial" w:hint="cs"/>
          <w:b/>
          <w:bCs/>
          <w:sz w:val="24"/>
          <w:rtl/>
        </w:rPr>
        <w:t>עובדת</w:t>
      </w:r>
      <w:r w:rsidRPr="00B70CBB">
        <w:rPr>
          <w:rFonts w:ascii="Arial" w:eastAsia="Calibri" w:hAnsi="Arial"/>
          <w:b/>
          <w:bCs/>
          <w:sz w:val="24"/>
          <w:rtl/>
        </w:rPr>
        <w:t xml:space="preserve"> לעבודתה, ולפיכך יש לקבוע, כי היא נפגעה "עקב העבודה" וממילא "תוך </w:t>
      </w:r>
      <w:r w:rsidRPr="00B70CBB">
        <w:rPr>
          <w:rFonts w:ascii="Arial" w:eastAsia="Calibri" w:hAnsi="Arial"/>
          <w:b/>
          <w:bCs/>
          <w:sz w:val="24"/>
          <w:rtl/>
        </w:rPr>
        <w:lastRenderedPageBreak/>
        <w:t>כדי</w:t>
      </w:r>
      <w:r w:rsidRPr="00B70CBB">
        <w:rPr>
          <w:rFonts w:ascii="Arial" w:eastAsia="Calibri" w:hAnsi="Arial" w:hint="cs"/>
          <w:b/>
          <w:bCs/>
          <w:sz w:val="24"/>
          <w:rtl/>
        </w:rPr>
        <w:t>" העבודה. בית-הדין הארצי קיבל את ערעור העובדת, קבע שחבלת כתפה מוכרת כתאונת עבודה והורה למוסד לביטוח לאומי לשלם לעובדת דמי פגיעה וכן שכר טירחת עו"ד בסך של 4,000 ₪.</w:t>
      </w:r>
    </w:p>
    <w:p w:rsidR="000118BE" w:rsidRDefault="000118BE" w:rsidP="00A8553B">
      <w:pPr>
        <w:bidi/>
        <w:spacing w:line="360" w:lineRule="auto"/>
        <w:ind w:left="-58"/>
        <w:jc w:val="both"/>
        <w:rPr>
          <w:b/>
          <w:bCs/>
          <w:rtl/>
        </w:rPr>
      </w:pPr>
      <w:r>
        <w:rPr>
          <w:rFonts w:ascii="David" w:hAnsi="David"/>
          <w:color w:val="000000"/>
          <w:sz w:val="22"/>
          <w:szCs w:val="22"/>
          <w:rtl/>
        </w:rPr>
        <w:t>עבל (ארצי) 9341-06-11</w:t>
      </w:r>
      <w:r>
        <w:rPr>
          <w:rFonts w:hint="cs"/>
          <w:color w:val="FF0000"/>
          <w:sz w:val="22"/>
          <w:szCs w:val="22"/>
          <w:rtl/>
        </w:rPr>
        <w:t xml:space="preserve"> </w:t>
      </w:r>
      <w:r w:rsidRPr="004A3CD9">
        <w:rPr>
          <w:color w:val="FF0000"/>
          <w:sz w:val="22"/>
          <w:szCs w:val="22"/>
        </w:rPr>
        <w:t>●</w:t>
      </w:r>
      <w:r w:rsidRPr="004A3CD9">
        <w:rPr>
          <w:rFonts w:hint="cs"/>
          <w:color w:val="2B003A"/>
          <w:sz w:val="22"/>
          <w:szCs w:val="22"/>
          <w:rtl/>
        </w:rPr>
        <w:t xml:space="preserve"> </w:t>
      </w:r>
      <w:r>
        <w:rPr>
          <w:rFonts w:ascii="David" w:hAnsi="David"/>
          <w:color w:val="000000"/>
          <w:sz w:val="22"/>
          <w:szCs w:val="22"/>
          <w:rtl/>
        </w:rPr>
        <w:t>הלה לילי נ' המוסד לביטוח לאומי</w:t>
      </w:r>
      <w:r w:rsidRPr="002D18AF">
        <w:rPr>
          <w:rFonts w:ascii="David" w:hAnsi="David" w:hint="cs"/>
          <w:color w:val="000000"/>
          <w:sz w:val="22"/>
          <w:szCs w:val="22"/>
          <w:rtl/>
        </w:rPr>
        <w:t xml:space="preserve"> (</w:t>
      </w:r>
      <w:r>
        <w:rPr>
          <w:rFonts w:ascii="David" w:hAnsi="David" w:hint="cs"/>
          <w:color w:val="000000"/>
          <w:sz w:val="22"/>
          <w:szCs w:val="22"/>
          <w:rtl/>
        </w:rPr>
        <w:t>9.5.13</w:t>
      </w:r>
      <w:r w:rsidRPr="002D18AF">
        <w:rPr>
          <w:rFonts w:ascii="David" w:hAnsi="David" w:hint="cs"/>
          <w:color w:val="000000"/>
          <w:sz w:val="22"/>
          <w:szCs w:val="22"/>
          <w:rtl/>
        </w:rPr>
        <w:t xml:space="preserve">) </w:t>
      </w:r>
      <w:r w:rsidRPr="002D18AF">
        <w:rPr>
          <w:rFonts w:ascii="David" w:hAnsi="David"/>
          <w:color w:val="000000"/>
          <w:sz w:val="22"/>
          <w:szCs w:val="22"/>
        </w:rPr>
        <w:t xml:space="preserve"> </w:t>
      </w:r>
      <w:r w:rsidRPr="004A3CD9">
        <w:rPr>
          <w:color w:val="FF0000"/>
          <w:sz w:val="22"/>
          <w:szCs w:val="22"/>
        </w:rPr>
        <w:t>●</w:t>
      </w:r>
      <w:r w:rsidRPr="002D18AF">
        <w:rPr>
          <w:rFonts w:ascii="David" w:hAnsi="David" w:hint="cs"/>
          <w:color w:val="000000"/>
          <w:sz w:val="22"/>
          <w:szCs w:val="22"/>
          <w:rtl/>
        </w:rPr>
        <w:t>בפני כבוד</w:t>
      </w:r>
      <w:r>
        <w:rPr>
          <w:rFonts w:ascii="David" w:hAnsi="David" w:hint="cs"/>
          <w:color w:val="000000"/>
          <w:sz w:val="22"/>
          <w:szCs w:val="22"/>
          <w:rtl/>
        </w:rPr>
        <w:t xml:space="preserve"> אב"ד</w:t>
      </w:r>
      <w:r w:rsidRPr="002D18AF">
        <w:rPr>
          <w:rFonts w:ascii="David" w:hAnsi="David" w:hint="cs"/>
          <w:color w:val="000000"/>
          <w:sz w:val="22"/>
          <w:szCs w:val="22"/>
          <w:rtl/>
        </w:rPr>
        <w:t xml:space="preserve"> </w:t>
      </w:r>
      <w:r>
        <w:rPr>
          <w:rFonts w:ascii="David" w:hAnsi="David" w:hint="cs"/>
          <w:color w:val="000000"/>
          <w:sz w:val="22"/>
          <w:szCs w:val="22"/>
          <w:rtl/>
        </w:rPr>
        <w:t>השופט יגאל פליטמן, השופטת רונית רוזנפלד, השופט אילן איטח</w:t>
      </w:r>
      <w:r w:rsidRPr="002D18AF">
        <w:rPr>
          <w:rFonts w:ascii="David" w:hAnsi="David" w:hint="cs"/>
          <w:color w:val="000000"/>
          <w:sz w:val="22"/>
          <w:szCs w:val="22"/>
          <w:rtl/>
        </w:rPr>
        <w:t>, נ.</w:t>
      </w:r>
      <w:r>
        <w:rPr>
          <w:rFonts w:ascii="David" w:hAnsi="David" w:hint="cs"/>
          <w:color w:val="000000"/>
          <w:sz w:val="22"/>
          <w:szCs w:val="22"/>
          <w:rtl/>
        </w:rPr>
        <w:t>ע</w:t>
      </w:r>
      <w:r w:rsidRPr="002D18AF">
        <w:rPr>
          <w:rFonts w:ascii="David" w:hAnsi="David" w:hint="cs"/>
          <w:color w:val="000000"/>
          <w:sz w:val="22"/>
          <w:szCs w:val="22"/>
          <w:rtl/>
        </w:rPr>
        <w:t xml:space="preserve">. מר </w:t>
      </w:r>
      <w:r>
        <w:rPr>
          <w:rFonts w:ascii="David" w:hAnsi="David" w:hint="cs"/>
          <w:color w:val="000000"/>
          <w:sz w:val="22"/>
          <w:szCs w:val="22"/>
          <w:rtl/>
        </w:rPr>
        <w:t>איתן כרמן, נ.מ מר משה אורן</w:t>
      </w:r>
    </w:p>
    <w:p w:rsidR="000118BE" w:rsidRDefault="000118BE" w:rsidP="00A8553B">
      <w:pPr>
        <w:bidi/>
        <w:spacing w:line="360" w:lineRule="auto"/>
        <w:ind w:left="-58"/>
        <w:jc w:val="both"/>
        <w:rPr>
          <w:b/>
          <w:bCs/>
          <w:rtl/>
        </w:rPr>
      </w:pPr>
    </w:p>
    <w:p w:rsidR="000118BE" w:rsidRPr="00E20BD3" w:rsidRDefault="000118BE" w:rsidP="00A8553B">
      <w:pPr>
        <w:pStyle w:val="2"/>
        <w:rPr>
          <w:color w:val="0000FF"/>
        </w:rPr>
      </w:pPr>
      <w:bookmarkStart w:id="173" w:name="_Toc383530641"/>
      <w:bookmarkStart w:id="174" w:name="_Toc383587187"/>
      <w:bookmarkStart w:id="175" w:name="_Toc383587392"/>
      <w:bookmarkStart w:id="176" w:name="_Toc383587834"/>
      <w:r w:rsidRPr="00E20BD3">
        <w:rPr>
          <w:rFonts w:hint="cs"/>
          <w:color w:val="0000FF"/>
          <w:rtl/>
        </w:rPr>
        <w:t>מיסוי</w:t>
      </w:r>
      <w:bookmarkEnd w:id="173"/>
      <w:bookmarkEnd w:id="174"/>
      <w:bookmarkEnd w:id="175"/>
      <w:bookmarkEnd w:id="176"/>
    </w:p>
    <w:p w:rsidR="000118BE" w:rsidRDefault="000118BE" w:rsidP="00A8553B">
      <w:pPr>
        <w:bidi/>
        <w:spacing w:line="360" w:lineRule="auto"/>
        <w:jc w:val="both"/>
        <w:outlineLvl w:val="1"/>
        <w:rPr>
          <w:rFonts w:ascii="David" w:hAnsi="David"/>
          <w:b/>
          <w:bCs/>
          <w:sz w:val="36"/>
          <w:szCs w:val="30"/>
          <w:u w:val="single"/>
        </w:rPr>
      </w:pPr>
    </w:p>
    <w:p w:rsidR="000118BE" w:rsidRDefault="0097194C" w:rsidP="00A8553B">
      <w:pPr>
        <w:numPr>
          <w:ilvl w:val="0"/>
          <w:numId w:val="29"/>
        </w:numPr>
        <w:bidi/>
        <w:spacing w:line="360" w:lineRule="auto"/>
        <w:jc w:val="both"/>
        <w:outlineLvl w:val="2"/>
        <w:rPr>
          <w:rFonts w:ascii="David" w:hAnsi="David"/>
          <w:b/>
          <w:bCs/>
          <w:color w:val="FF0000"/>
          <w:sz w:val="32"/>
          <w:szCs w:val="26"/>
          <w:u w:val="single"/>
        </w:rPr>
      </w:pPr>
      <w:bookmarkStart w:id="177" w:name="_Toc383530642"/>
      <w:bookmarkStart w:id="178" w:name="_Toc383587188"/>
      <w:bookmarkStart w:id="179" w:name="_Toc383587393"/>
      <w:bookmarkStart w:id="180" w:name="_Toc383587835"/>
      <w:r>
        <w:rPr>
          <w:rFonts w:ascii="David" w:hAnsi="David" w:hint="cs"/>
          <w:b/>
          <w:bCs/>
          <w:color w:val="FF0000"/>
          <w:sz w:val="32"/>
          <w:szCs w:val="26"/>
          <w:u w:val="single"/>
          <w:rtl/>
        </w:rPr>
        <w:t xml:space="preserve">הכנסת </w:t>
      </w:r>
      <w:r w:rsidR="000118BE">
        <w:rPr>
          <w:rFonts w:ascii="David" w:hAnsi="David" w:hint="cs"/>
          <w:b/>
          <w:bCs/>
          <w:color w:val="FF0000"/>
          <w:sz w:val="32"/>
          <w:szCs w:val="26"/>
          <w:u w:val="single"/>
          <w:rtl/>
        </w:rPr>
        <w:t>עבודה</w:t>
      </w:r>
      <w:bookmarkEnd w:id="177"/>
      <w:bookmarkEnd w:id="178"/>
      <w:bookmarkEnd w:id="179"/>
      <w:bookmarkEnd w:id="180"/>
    </w:p>
    <w:p w:rsidR="000118BE" w:rsidRDefault="000118BE" w:rsidP="00A8553B">
      <w:pPr>
        <w:bidi/>
        <w:spacing w:line="360" w:lineRule="auto"/>
        <w:ind w:left="360"/>
        <w:jc w:val="both"/>
        <w:outlineLvl w:val="2"/>
        <w:rPr>
          <w:rFonts w:ascii="David" w:hAnsi="David"/>
          <w:b/>
          <w:bCs/>
          <w:color w:val="FF0000"/>
          <w:sz w:val="32"/>
          <w:szCs w:val="26"/>
          <w:u w:val="single"/>
        </w:rPr>
      </w:pPr>
    </w:p>
    <w:p w:rsidR="000118BE" w:rsidRPr="00E20BD3" w:rsidRDefault="000118BE" w:rsidP="00A8553B">
      <w:pPr>
        <w:numPr>
          <w:ilvl w:val="0"/>
          <w:numId w:val="30"/>
        </w:numPr>
        <w:tabs>
          <w:tab w:val="left" w:pos="70"/>
        </w:tabs>
        <w:bidi/>
        <w:spacing w:line="360" w:lineRule="auto"/>
        <w:ind w:left="647" w:hanging="284"/>
        <w:jc w:val="both"/>
        <w:rPr>
          <w:rFonts w:ascii="Arial" w:hAnsi="Arial"/>
          <w:b/>
          <w:bCs/>
          <w:color w:val="0000FF"/>
          <w:sz w:val="24"/>
          <w:u w:val="single"/>
        </w:rPr>
      </w:pPr>
      <w:r w:rsidRPr="00E20BD3">
        <w:rPr>
          <w:rFonts w:ascii="Arial" w:hAnsi="Arial" w:hint="cs"/>
          <w:b/>
          <w:bCs/>
          <w:color w:val="0000FF"/>
          <w:sz w:val="24"/>
          <w:u w:val="single"/>
          <w:rtl/>
        </w:rPr>
        <w:t>תקבול לעובד שפרש בגין התחייבות לשמירת סודיות ואי תחרות, חייב במס רגיל כהכנסת עבודה פירותית</w:t>
      </w:r>
    </w:p>
    <w:p w:rsidR="000118BE" w:rsidRPr="00015500" w:rsidRDefault="000118BE" w:rsidP="00A8553B">
      <w:pPr>
        <w:tabs>
          <w:tab w:val="left" w:pos="70"/>
        </w:tabs>
        <w:bidi/>
        <w:spacing w:line="360" w:lineRule="auto"/>
        <w:jc w:val="both"/>
        <w:rPr>
          <w:rFonts w:ascii="Arial" w:hAnsi="Arial"/>
          <w:b/>
          <w:bCs/>
          <w:color w:val="008000"/>
          <w:sz w:val="24"/>
          <w:u w:val="single"/>
          <w:rtl/>
        </w:rPr>
      </w:pPr>
    </w:p>
    <w:p w:rsidR="000118BE" w:rsidRPr="00C95133" w:rsidRDefault="000118BE" w:rsidP="00A8553B">
      <w:pPr>
        <w:tabs>
          <w:tab w:val="left" w:pos="-102"/>
        </w:tabs>
        <w:bidi/>
        <w:spacing w:line="360" w:lineRule="auto"/>
        <w:ind w:left="-101"/>
        <w:jc w:val="both"/>
        <w:rPr>
          <w:b/>
          <w:bCs/>
          <w:sz w:val="24"/>
          <w:rtl/>
        </w:rPr>
      </w:pPr>
      <w:r w:rsidRPr="00C95133">
        <w:rPr>
          <w:rFonts w:ascii="Arial" w:eastAsia="Calibri" w:hAnsi="Arial" w:hint="cs"/>
          <w:b/>
          <w:bCs/>
          <w:sz w:val="24"/>
          <w:rtl/>
        </w:rPr>
        <w:t>עובד שעבד בתפקידי ניהול בחברה בקבוצת חברות אסם כרת עם החברה "הסכם לשמירת סודיות ואי תחרות", לפיו התחייב שלא להתחרות בעסקי אסם במשך תקופה של שנתיים מיום פרישתו בתמורה ל- 4 מיליון ₪. העובד דיווח על הכנסה זו כרווח הון החייב במס מופחת של 20%. לטענתו, הוא מכר את זכותו להתחרות כמכירת "נכס".</w:t>
      </w:r>
    </w:p>
    <w:p w:rsidR="000118BE" w:rsidRPr="00C95133" w:rsidRDefault="000118BE" w:rsidP="00A8553B">
      <w:pPr>
        <w:tabs>
          <w:tab w:val="left" w:pos="-102"/>
        </w:tabs>
        <w:bidi/>
        <w:spacing w:line="360" w:lineRule="auto"/>
        <w:ind w:left="-101"/>
        <w:jc w:val="both"/>
        <w:rPr>
          <w:rFonts w:ascii="Arial" w:eastAsia="Calibri" w:hAnsi="Arial"/>
          <w:b/>
          <w:bCs/>
          <w:sz w:val="24"/>
          <w:rtl/>
        </w:rPr>
      </w:pPr>
      <w:r w:rsidRPr="00C95133">
        <w:rPr>
          <w:rFonts w:ascii="Arial" w:eastAsia="Calibri" w:hAnsi="Arial" w:hint="cs"/>
          <w:b/>
          <w:bCs/>
          <w:sz w:val="24"/>
          <w:rtl/>
        </w:rPr>
        <w:t>פקיד השומה דחה את סיווג ההכנסה כרווח הון וקבע כי הכנסת העובד על פי ההסכם הינה חלק ממענק פרישה שקיבל מאסם. לחלופין, הכנסה זו מהווה פיצוי על הגבלה מסוימת שהוטלה על העובד במשך שנתיים ומנעה ממנו אפשרות להשתכר תוך כדי תחרות עם אסם ועל כן יש לראות בהכנסה זו כתחליף שכר ו/או רווח מעסק או משלח יד.</w:t>
      </w:r>
    </w:p>
    <w:p w:rsidR="000118BE" w:rsidRPr="00C95133" w:rsidRDefault="000118BE" w:rsidP="00A8553B">
      <w:pPr>
        <w:tabs>
          <w:tab w:val="left" w:pos="-102"/>
        </w:tabs>
        <w:bidi/>
        <w:spacing w:line="360" w:lineRule="auto"/>
        <w:ind w:left="-101"/>
        <w:jc w:val="both"/>
        <w:rPr>
          <w:rFonts w:ascii="Arial" w:eastAsia="Calibri" w:hAnsi="Arial"/>
          <w:b/>
          <w:bCs/>
          <w:sz w:val="24"/>
          <w:rtl/>
        </w:rPr>
      </w:pPr>
      <w:r w:rsidRPr="00C95133">
        <w:rPr>
          <w:rFonts w:ascii="Arial" w:eastAsia="Calibri" w:hAnsi="Arial" w:hint="cs"/>
          <w:b/>
          <w:bCs/>
          <w:sz w:val="24"/>
          <w:rtl/>
        </w:rPr>
        <w:t xml:space="preserve">בית המשפט המחוזי דחה את ערעור העובד ופסק כי יש לראות בתקבול בתמורה להתחייבות שלא להתחרות במעביד כהכנסה פירותית ולא הונית. מהות התחייבות עובד לא להתחרות במעביד מגבילה את חופש העיסוק לתחום מסוים ולתקופה מוגבלת. אין כאן מכירת "העץ" או גדיעתו, אלא לכל היותר וויתור חלקי וזמני על הזכות להשתכר או להרוויח מעיסוק בתחום מסוים, לתקופה מוגבלת. </w:t>
      </w:r>
    </w:p>
    <w:p w:rsidR="000118BE" w:rsidRDefault="000118BE" w:rsidP="00A8553B">
      <w:pPr>
        <w:tabs>
          <w:tab w:val="left" w:pos="90"/>
        </w:tabs>
        <w:bidi/>
        <w:spacing w:line="360" w:lineRule="auto"/>
        <w:ind w:left="-90"/>
        <w:jc w:val="both"/>
        <w:rPr>
          <w:sz w:val="22"/>
          <w:szCs w:val="22"/>
          <w:rtl/>
          <w:lang w:eastAsia="he-IL"/>
        </w:rPr>
      </w:pPr>
      <w:r w:rsidRPr="0087027C">
        <w:rPr>
          <w:rFonts w:hint="cs"/>
          <w:sz w:val="22"/>
          <w:szCs w:val="22"/>
          <w:rtl/>
        </w:rPr>
        <w:t xml:space="preserve">עמ"ה 6790-01-10 </w:t>
      </w:r>
      <w:r w:rsidRPr="0087027C">
        <w:rPr>
          <w:color w:val="FF0000"/>
          <w:sz w:val="22"/>
          <w:szCs w:val="22"/>
        </w:rPr>
        <w:t>●</w:t>
      </w:r>
      <w:r w:rsidRPr="0087027C">
        <w:rPr>
          <w:rFonts w:hint="cs"/>
          <w:b/>
          <w:bCs/>
          <w:sz w:val="22"/>
          <w:szCs w:val="22"/>
          <w:rtl/>
        </w:rPr>
        <w:t xml:space="preserve"> אברהם קרינגל נ' פקיד שומה פתח תקווה </w:t>
      </w:r>
      <w:r w:rsidRPr="0087027C">
        <w:rPr>
          <w:rFonts w:hint="cs"/>
          <w:sz w:val="22"/>
          <w:szCs w:val="22"/>
          <w:rtl/>
        </w:rPr>
        <w:t xml:space="preserve">(19.1.14) </w:t>
      </w:r>
      <w:r w:rsidRPr="0087027C">
        <w:rPr>
          <w:color w:val="FF0000"/>
          <w:sz w:val="22"/>
          <w:szCs w:val="22"/>
        </w:rPr>
        <w:t xml:space="preserve"> ●</w:t>
      </w:r>
      <w:r w:rsidRPr="0087027C">
        <w:rPr>
          <w:rFonts w:hint="cs"/>
          <w:sz w:val="22"/>
          <w:szCs w:val="22"/>
          <w:rtl/>
        </w:rPr>
        <w:t xml:space="preserve">בפני כבוד השופט מגן אלטוביה </w:t>
      </w:r>
    </w:p>
    <w:p w:rsidR="000118BE" w:rsidRDefault="000118BE" w:rsidP="00A8553B">
      <w:pPr>
        <w:tabs>
          <w:tab w:val="left" w:pos="90"/>
        </w:tabs>
        <w:bidi/>
        <w:spacing w:line="360" w:lineRule="auto"/>
        <w:ind w:left="-90"/>
        <w:jc w:val="both"/>
        <w:rPr>
          <w:sz w:val="22"/>
          <w:szCs w:val="22"/>
          <w:rtl/>
          <w:lang w:eastAsia="he-IL"/>
        </w:rPr>
      </w:pPr>
    </w:p>
    <w:p w:rsidR="000118BE" w:rsidRPr="00E20BD3" w:rsidRDefault="000118BE" w:rsidP="00A8553B">
      <w:pPr>
        <w:numPr>
          <w:ilvl w:val="0"/>
          <w:numId w:val="30"/>
        </w:numPr>
        <w:tabs>
          <w:tab w:val="left" w:pos="90"/>
        </w:tabs>
        <w:bidi/>
        <w:spacing w:line="360" w:lineRule="auto"/>
        <w:ind w:left="647" w:hanging="284"/>
        <w:jc w:val="both"/>
        <w:rPr>
          <w:rFonts w:ascii="Arial" w:hAnsi="Arial"/>
          <w:b/>
          <w:bCs/>
          <w:color w:val="0000FF"/>
          <w:sz w:val="24"/>
          <w:u w:val="single"/>
          <w:rtl/>
        </w:rPr>
      </w:pPr>
      <w:r w:rsidRPr="00E20BD3">
        <w:rPr>
          <w:rFonts w:ascii="Arial" w:hAnsi="Arial" w:hint="cs"/>
          <w:b/>
          <w:bCs/>
          <w:color w:val="0000FF"/>
          <w:sz w:val="24"/>
          <w:u w:val="single"/>
          <w:rtl/>
        </w:rPr>
        <w:t>מהפך - מענקי הפרטה לעובדי בז"ן סווגו לצרכי מס כהכנסת עבודה פירותית</w:t>
      </w:r>
    </w:p>
    <w:p w:rsidR="000118BE" w:rsidRDefault="000118BE" w:rsidP="00A8553B">
      <w:pPr>
        <w:tabs>
          <w:tab w:val="left" w:pos="90"/>
        </w:tabs>
        <w:bidi/>
        <w:spacing w:line="360" w:lineRule="auto"/>
        <w:ind w:left="-90"/>
        <w:jc w:val="both"/>
        <w:rPr>
          <w:sz w:val="22"/>
          <w:szCs w:val="22"/>
          <w:rtl/>
          <w:lang w:eastAsia="he-IL"/>
        </w:rPr>
      </w:pPr>
    </w:p>
    <w:p w:rsidR="000118BE" w:rsidRPr="003D5F19" w:rsidRDefault="000118BE" w:rsidP="00A8553B">
      <w:pPr>
        <w:tabs>
          <w:tab w:val="left" w:pos="90"/>
        </w:tabs>
        <w:bidi/>
        <w:spacing w:line="360" w:lineRule="auto"/>
        <w:ind w:left="-90"/>
        <w:jc w:val="both"/>
        <w:rPr>
          <w:rFonts w:ascii="Arial" w:eastAsia="Calibri" w:hAnsi="Arial"/>
          <w:b/>
          <w:bCs/>
          <w:sz w:val="24"/>
          <w:rtl/>
        </w:rPr>
      </w:pPr>
      <w:r w:rsidRPr="003D5F19">
        <w:rPr>
          <w:rFonts w:ascii="Arial" w:eastAsia="Calibri" w:hAnsi="Arial" w:hint="cs"/>
          <w:b/>
          <w:bCs/>
          <w:sz w:val="24"/>
          <w:rtl/>
        </w:rPr>
        <w:t xml:space="preserve">בית המשפט העליון </w:t>
      </w:r>
      <w:bookmarkStart w:id="181" w:name="Links_Kitvei_Start"/>
      <w:r w:rsidRPr="003D5F19">
        <w:rPr>
          <w:rFonts w:ascii="Arial" w:eastAsia="Calibri" w:hAnsi="Arial"/>
          <w:b/>
          <w:bCs/>
          <w:sz w:val="24"/>
          <w:rtl/>
        </w:rPr>
        <w:t>קיבל ערעור</w:t>
      </w:r>
      <w:r w:rsidRPr="003D5F19">
        <w:rPr>
          <w:rFonts w:ascii="Arial" w:eastAsia="Calibri" w:hAnsi="Arial" w:hint="cs"/>
          <w:b/>
          <w:bCs/>
          <w:sz w:val="24"/>
          <w:rtl/>
        </w:rPr>
        <w:t xml:space="preserve"> של פקיד השומה בעניין סיווגם</w:t>
      </w:r>
      <w:r w:rsidRPr="003D5F19">
        <w:rPr>
          <w:rFonts w:ascii="Arial" w:eastAsia="Calibri" w:hAnsi="Arial"/>
          <w:b/>
          <w:bCs/>
          <w:sz w:val="24"/>
          <w:rtl/>
        </w:rPr>
        <w:t>, לצרכי מס, של "מענק פיצול" ושל "מענק הפרטה" שקיבלו עובדי החברה הממשלתית חברת בתי זיקוק לנפט בע"מ (בז"ן) עם פיצול החברה לשתי חברות והעברת החברות לידיים פרטיות</w:t>
      </w:r>
      <w:r w:rsidRPr="003D5F19">
        <w:rPr>
          <w:rFonts w:ascii="Arial" w:eastAsia="Calibri" w:hAnsi="Arial" w:hint="cs"/>
          <w:b/>
          <w:bCs/>
          <w:sz w:val="24"/>
          <w:rtl/>
        </w:rPr>
        <w:t xml:space="preserve">. בית המשפט </w:t>
      </w:r>
      <w:r w:rsidRPr="003D5F19">
        <w:rPr>
          <w:rFonts w:ascii="Arial" w:eastAsia="Calibri" w:hAnsi="Arial"/>
          <w:b/>
          <w:bCs/>
          <w:sz w:val="24"/>
          <w:rtl/>
        </w:rPr>
        <w:t xml:space="preserve">פסק כי יש לסווג את </w:t>
      </w:r>
      <w:r w:rsidRPr="003D5F19">
        <w:rPr>
          <w:rFonts w:ascii="Arial" w:eastAsia="Calibri" w:hAnsi="Arial" w:hint="cs"/>
          <w:b/>
          <w:bCs/>
          <w:sz w:val="24"/>
          <w:rtl/>
        </w:rPr>
        <w:t>המענקים</w:t>
      </w:r>
      <w:r w:rsidRPr="003D5F19">
        <w:rPr>
          <w:rFonts w:ascii="Arial" w:eastAsia="Calibri" w:hAnsi="Arial"/>
          <w:b/>
          <w:bCs/>
          <w:sz w:val="24"/>
          <w:rtl/>
        </w:rPr>
        <w:t xml:space="preserve"> כהכנסת עבודה פירותית</w:t>
      </w:r>
      <w:r w:rsidRPr="003D5F19">
        <w:rPr>
          <w:rFonts w:ascii="Arial" w:eastAsia="Calibri" w:hAnsi="Arial" w:hint="cs"/>
          <w:b/>
          <w:bCs/>
          <w:sz w:val="24"/>
          <w:rtl/>
        </w:rPr>
        <w:t>,</w:t>
      </w:r>
      <w:r w:rsidRPr="003D5F19">
        <w:rPr>
          <w:rFonts w:ascii="Arial" w:eastAsia="Calibri" w:hAnsi="Arial"/>
          <w:b/>
          <w:bCs/>
          <w:sz w:val="24"/>
          <w:rtl/>
        </w:rPr>
        <w:t xml:space="preserve"> </w:t>
      </w:r>
      <w:r w:rsidRPr="003D5F19">
        <w:rPr>
          <w:rFonts w:ascii="Arial" w:eastAsia="Calibri" w:hAnsi="Arial" w:hint="cs"/>
          <w:b/>
          <w:bCs/>
          <w:sz w:val="24"/>
          <w:rtl/>
        </w:rPr>
        <w:t xml:space="preserve">במס רגיל </w:t>
      </w:r>
      <w:r w:rsidRPr="003D5F19">
        <w:rPr>
          <w:rFonts w:ascii="Arial" w:eastAsia="Calibri" w:hAnsi="Arial"/>
          <w:b/>
          <w:bCs/>
          <w:sz w:val="24"/>
          <w:rtl/>
        </w:rPr>
        <w:t>לפי סעיף 2(2) לפקודת מס הכנסה</w:t>
      </w:r>
      <w:r w:rsidRPr="003D5F19">
        <w:rPr>
          <w:rFonts w:ascii="Arial" w:eastAsia="Calibri" w:hAnsi="Arial" w:hint="cs"/>
          <w:b/>
          <w:bCs/>
          <w:sz w:val="24"/>
          <w:rtl/>
        </w:rPr>
        <w:t>, ולא כהכנסה הונית במס מופחת</w:t>
      </w:r>
      <w:r w:rsidRPr="003D5F19">
        <w:rPr>
          <w:rFonts w:ascii="Arial" w:eastAsia="Calibri" w:hAnsi="Arial"/>
          <w:b/>
          <w:bCs/>
          <w:sz w:val="24"/>
          <w:rtl/>
        </w:rPr>
        <w:t>.</w:t>
      </w:r>
    </w:p>
    <w:p w:rsidR="000118BE" w:rsidRPr="003D5F19" w:rsidRDefault="000118BE" w:rsidP="00A8553B">
      <w:pPr>
        <w:tabs>
          <w:tab w:val="left" w:pos="90"/>
        </w:tabs>
        <w:bidi/>
        <w:spacing w:line="360" w:lineRule="auto"/>
        <w:ind w:left="-90"/>
        <w:jc w:val="both"/>
        <w:rPr>
          <w:rFonts w:ascii="Arial" w:eastAsia="Calibri" w:hAnsi="Arial"/>
          <w:b/>
          <w:bCs/>
          <w:sz w:val="24"/>
          <w:rtl/>
        </w:rPr>
      </w:pPr>
      <w:bookmarkStart w:id="182" w:name="BeginProtocol"/>
      <w:bookmarkStart w:id="183" w:name="secretary"/>
      <w:bookmarkEnd w:id="181"/>
      <w:bookmarkEnd w:id="182"/>
      <w:bookmarkEnd w:id="183"/>
      <w:r w:rsidRPr="003D5F19">
        <w:rPr>
          <w:rFonts w:ascii="Arial" w:eastAsia="Calibri" w:hAnsi="Arial" w:hint="cs"/>
          <w:b/>
          <w:bCs/>
          <w:sz w:val="24"/>
          <w:rtl/>
        </w:rPr>
        <w:lastRenderedPageBreak/>
        <w:t>בית המשפט המחוזי קיבל את ערעור העובדים על החלטת פקיד השומה וקבע כי המענקים ימוסו כרווח הון כיוון שהנם פיצוי על ויתורם של העובדים על זכותם לעבוד אצל מעסיקם הקודם וכי בהסכמים עצמם נקבע שהמענקים אינם בגדר שכר "לכל דבר  ועניין".</w:t>
      </w:r>
    </w:p>
    <w:p w:rsidR="000118BE" w:rsidRPr="003D5F19" w:rsidRDefault="000118BE" w:rsidP="00A8553B">
      <w:pPr>
        <w:tabs>
          <w:tab w:val="left" w:pos="90"/>
        </w:tabs>
        <w:bidi/>
        <w:spacing w:line="360" w:lineRule="auto"/>
        <w:ind w:left="-90"/>
        <w:jc w:val="both"/>
        <w:rPr>
          <w:rFonts w:ascii="Arial" w:eastAsia="Calibri" w:hAnsi="Arial"/>
          <w:b/>
          <w:bCs/>
          <w:sz w:val="24"/>
          <w:rtl/>
        </w:rPr>
      </w:pPr>
      <w:r w:rsidRPr="003D5F19">
        <w:rPr>
          <w:rFonts w:ascii="Arial" w:eastAsia="Calibri" w:hAnsi="Arial" w:hint="cs"/>
          <w:b/>
          <w:bCs/>
          <w:sz w:val="24"/>
          <w:rtl/>
        </w:rPr>
        <w:t xml:space="preserve">בית המשפט העליון הפך את הפסק וקבע כי המענקים שולמו במסגרת יחסי העבודה ועל כן דינם כהכנסת עבודה. בכל הקשור לתשלומים ממעבידים לעובדיהם, ההסדר הקבוע בסעיף 2(2) נהנה מ"עליונות" או "עדיפות" על ההסדרים ההוניים, המהווים חריג לו. עוד קבע בית המשפט העליון, כי מימוש זכויות המוקנות לעובדים כחלק ממשפט העבודה אינו צריך להסיט הכנסה שהגיעה אליהם ממעבידם אל מחוץ למשטר המס הפירותי. ניתן להעלות על הדעת מקרים רבים בהם ימצא מעביד לנכון לפצות את עובדיו באופן חד-פעמי על שינוי בתנאי העבודה; פיצוי שכזה הינו הכנסת עבודה לכל דבר ועניין. הוא הדין גם במקרים בהם המעביד יוזם שינוי במקום העבודה, והעובד מתנגד לשינוי כפי שזכותו. לעובדים יש זכות להתנגד לשינוי ואולי אף להיות מפוצים בגין כך שזמן הפנאי שלהם נפגע, אולם בכך אין כדי להפוך הכנסה כזו להונית. </w:t>
      </w:r>
    </w:p>
    <w:p w:rsidR="000118BE" w:rsidRPr="003D5F19" w:rsidRDefault="000118BE" w:rsidP="00A8553B">
      <w:pPr>
        <w:tabs>
          <w:tab w:val="left" w:pos="90"/>
        </w:tabs>
        <w:bidi/>
        <w:spacing w:line="360" w:lineRule="auto"/>
        <w:ind w:left="-90"/>
        <w:jc w:val="both"/>
        <w:rPr>
          <w:rFonts w:ascii="Arial" w:eastAsia="Calibri" w:hAnsi="Arial"/>
          <w:b/>
          <w:bCs/>
          <w:sz w:val="24"/>
          <w:rtl/>
        </w:rPr>
      </w:pPr>
      <w:r w:rsidRPr="003D5F19">
        <w:rPr>
          <w:rFonts w:ascii="Arial" w:eastAsia="Calibri" w:hAnsi="Arial" w:hint="cs"/>
          <w:b/>
          <w:bCs/>
          <w:sz w:val="24"/>
          <w:rtl/>
        </w:rPr>
        <w:t>עוד קבע בית המשפט, כי</w:t>
      </w:r>
      <w:r w:rsidRPr="003D5F19">
        <w:rPr>
          <w:rFonts w:ascii="Arial" w:eastAsia="Calibri" w:hAnsi="Arial"/>
          <w:b/>
          <w:bCs/>
          <w:sz w:val="24"/>
          <w:rtl/>
        </w:rPr>
        <w:t xml:space="preserve"> </w:t>
      </w:r>
      <w:r w:rsidRPr="003D5F19">
        <w:rPr>
          <w:rFonts w:ascii="Arial" w:eastAsia="Calibri" w:hAnsi="Arial" w:hint="cs"/>
          <w:b/>
          <w:bCs/>
          <w:sz w:val="24"/>
          <w:rtl/>
        </w:rPr>
        <w:t xml:space="preserve">צדדים להסכם קיבוצי אינם יכולים להשפיע בהסכם על חבות המס של מענק זה או אחר בהסכם, בוודאי לא כאשר רשויות המס כלל לא היו מעורבות בגיבוש ההסכם הקיבוצי. אי לכך, לא הייתה סמכות לצדדים למשא ומתן הקיבוצי ליתן הקלת מס. </w:t>
      </w:r>
    </w:p>
    <w:p w:rsidR="000118BE" w:rsidRPr="003D5F19" w:rsidRDefault="000118BE" w:rsidP="00A8553B">
      <w:pPr>
        <w:tabs>
          <w:tab w:val="left" w:pos="90"/>
        </w:tabs>
        <w:bidi/>
        <w:spacing w:line="360" w:lineRule="auto"/>
        <w:ind w:left="-90"/>
        <w:jc w:val="both"/>
        <w:rPr>
          <w:rFonts w:ascii="Arial" w:eastAsia="Calibri" w:hAnsi="Arial"/>
          <w:b/>
          <w:bCs/>
          <w:sz w:val="24"/>
          <w:rtl/>
        </w:rPr>
      </w:pPr>
      <w:r w:rsidRPr="003D5F19">
        <w:rPr>
          <w:rFonts w:ascii="Arial" w:eastAsia="Calibri" w:hAnsi="Arial" w:hint="cs"/>
          <w:b/>
          <w:bCs/>
          <w:sz w:val="24"/>
          <w:rtl/>
        </w:rPr>
        <w:t xml:space="preserve">השופטים קבעו פה אחד כי על המענקים ששולמו לעובדי החברה להיות מסווגים כהכנסת עבודה פירותית, אולם נימקו באופן שונה את החלטתם המשותפת: </w:t>
      </w:r>
    </w:p>
    <w:p w:rsidR="000118BE" w:rsidRPr="003D5F19" w:rsidRDefault="000118BE" w:rsidP="00A8553B">
      <w:pPr>
        <w:tabs>
          <w:tab w:val="left" w:pos="90"/>
        </w:tabs>
        <w:bidi/>
        <w:spacing w:line="360" w:lineRule="auto"/>
        <w:ind w:left="-90"/>
        <w:jc w:val="both"/>
        <w:rPr>
          <w:rFonts w:ascii="Arial" w:eastAsia="Calibri" w:hAnsi="Arial"/>
          <w:b/>
          <w:bCs/>
          <w:sz w:val="24"/>
          <w:rtl/>
        </w:rPr>
      </w:pPr>
      <w:r w:rsidRPr="003D5F19">
        <w:rPr>
          <w:rFonts w:ascii="Arial" w:eastAsia="Calibri" w:hAnsi="Arial"/>
          <w:b/>
          <w:bCs/>
          <w:sz w:val="24"/>
          <w:rtl/>
        </w:rPr>
        <w:t>לשיטת המשנָה לנשיא</w:t>
      </w:r>
      <w:r w:rsidRPr="003D5F19">
        <w:rPr>
          <w:rFonts w:ascii="Arial" w:eastAsia="Calibri" w:hAnsi="Arial" w:hint="cs"/>
          <w:b/>
          <w:bCs/>
          <w:sz w:val="24"/>
          <w:rtl/>
        </w:rPr>
        <w:t xml:space="preserve">, השופטת מרים </w:t>
      </w:r>
      <w:r w:rsidRPr="003D5F19">
        <w:rPr>
          <w:rFonts w:ascii="Arial" w:eastAsia="Calibri" w:hAnsi="Arial"/>
          <w:b/>
          <w:bCs/>
          <w:sz w:val="24"/>
          <w:rtl/>
        </w:rPr>
        <w:t>נאור</w:t>
      </w:r>
      <w:r w:rsidRPr="003D5F19">
        <w:rPr>
          <w:rFonts w:ascii="Arial" w:eastAsia="Calibri" w:hAnsi="Arial" w:hint="cs"/>
          <w:b/>
          <w:bCs/>
          <w:sz w:val="24"/>
          <w:rtl/>
        </w:rPr>
        <w:t>,</w:t>
      </w:r>
      <w:r w:rsidRPr="003D5F19">
        <w:rPr>
          <w:rFonts w:ascii="Arial" w:eastAsia="Calibri" w:hAnsi="Arial"/>
          <w:b/>
          <w:bCs/>
          <w:sz w:val="24"/>
          <w:rtl/>
        </w:rPr>
        <w:t xml:space="preserve"> יש לקבוע כלל</w:t>
      </w:r>
      <w:r w:rsidRPr="003D5F19">
        <w:rPr>
          <w:rFonts w:ascii="Arial" w:eastAsia="Calibri" w:hAnsi="Arial" w:hint="cs"/>
          <w:b/>
          <w:bCs/>
          <w:sz w:val="24"/>
          <w:rtl/>
        </w:rPr>
        <w:t>,</w:t>
      </w:r>
      <w:r w:rsidRPr="003D5F19">
        <w:rPr>
          <w:rFonts w:ascii="Arial" w:eastAsia="Calibri" w:hAnsi="Arial"/>
          <w:b/>
          <w:bCs/>
          <w:sz w:val="24"/>
          <w:rtl/>
        </w:rPr>
        <w:t xml:space="preserve"> לפיו כל תשלום שהגיע לעובד ממעבידו במהלך יחסי העבודה יסווג כהכנסת עבודה</w:t>
      </w:r>
      <w:r w:rsidRPr="003D5F19">
        <w:rPr>
          <w:rFonts w:ascii="Arial" w:eastAsia="Calibri" w:hAnsi="Arial" w:hint="cs"/>
          <w:b/>
          <w:bCs/>
          <w:sz w:val="24"/>
          <w:rtl/>
        </w:rPr>
        <w:t xml:space="preserve">, </w:t>
      </w:r>
      <w:r w:rsidRPr="003D5F19">
        <w:rPr>
          <w:rFonts w:ascii="Arial" w:eastAsia="Calibri" w:hAnsi="Arial"/>
          <w:b/>
          <w:bCs/>
          <w:sz w:val="24"/>
          <w:rtl/>
        </w:rPr>
        <w:t xml:space="preserve">אלא אם נקבע אחרת בחוק, או במצבים </w:t>
      </w:r>
      <w:r w:rsidRPr="003D5F19">
        <w:rPr>
          <w:rFonts w:ascii="Arial" w:eastAsia="Calibri" w:hAnsi="Arial" w:hint="cs"/>
          <w:b/>
          <w:bCs/>
          <w:sz w:val="24"/>
          <w:rtl/>
        </w:rPr>
        <w:t xml:space="preserve">חריגים, </w:t>
      </w:r>
      <w:r w:rsidRPr="003D5F19">
        <w:rPr>
          <w:rFonts w:ascii="Arial" w:eastAsia="Calibri" w:hAnsi="Arial"/>
          <w:b/>
          <w:bCs/>
          <w:sz w:val="24"/>
          <w:rtl/>
        </w:rPr>
        <w:t xml:space="preserve">שבהם המעביד העביר את התקבול שלא בכובעו כמעביד. </w:t>
      </w:r>
    </w:p>
    <w:p w:rsidR="000118BE" w:rsidRPr="003D5F19" w:rsidRDefault="000118BE" w:rsidP="00A8553B">
      <w:pPr>
        <w:tabs>
          <w:tab w:val="left" w:pos="90"/>
        </w:tabs>
        <w:bidi/>
        <w:spacing w:line="360" w:lineRule="auto"/>
        <w:ind w:left="-90"/>
        <w:jc w:val="both"/>
        <w:rPr>
          <w:rFonts w:ascii="Arial" w:eastAsia="Calibri" w:hAnsi="Arial"/>
          <w:b/>
          <w:bCs/>
          <w:sz w:val="24"/>
          <w:rtl/>
        </w:rPr>
      </w:pPr>
      <w:r w:rsidRPr="003D5F19">
        <w:rPr>
          <w:rFonts w:ascii="Arial" w:eastAsia="Calibri" w:hAnsi="Arial"/>
          <w:b/>
          <w:bCs/>
          <w:sz w:val="24"/>
          <w:rtl/>
        </w:rPr>
        <w:t>לשיטת השופטת</w:t>
      </w:r>
      <w:r w:rsidRPr="003D5F19">
        <w:rPr>
          <w:rFonts w:ascii="Arial" w:eastAsia="Calibri" w:hAnsi="Arial" w:hint="cs"/>
          <w:b/>
          <w:bCs/>
          <w:sz w:val="24"/>
          <w:rtl/>
        </w:rPr>
        <w:t xml:space="preserve"> אסתר</w:t>
      </w:r>
      <w:r w:rsidRPr="003D5F19">
        <w:rPr>
          <w:rFonts w:ascii="Arial" w:eastAsia="Calibri" w:hAnsi="Arial"/>
          <w:b/>
          <w:bCs/>
          <w:sz w:val="24"/>
          <w:rtl/>
        </w:rPr>
        <w:t xml:space="preserve"> חיות אין מקום לקבוע </w:t>
      </w:r>
      <w:r w:rsidRPr="003D5F19">
        <w:rPr>
          <w:rFonts w:ascii="Arial" w:eastAsia="Calibri" w:hAnsi="Arial" w:hint="cs"/>
          <w:b/>
          <w:bCs/>
          <w:sz w:val="24"/>
          <w:rtl/>
        </w:rPr>
        <w:t>חזקה כללית כזו</w:t>
      </w:r>
      <w:r w:rsidRPr="003D5F19">
        <w:rPr>
          <w:rFonts w:ascii="Arial" w:eastAsia="Calibri" w:hAnsi="Arial"/>
          <w:b/>
          <w:bCs/>
          <w:sz w:val="24"/>
          <w:rtl/>
        </w:rPr>
        <w:t xml:space="preserve">, אלא יש לבחון </w:t>
      </w:r>
      <w:r w:rsidRPr="003D5F19">
        <w:rPr>
          <w:rFonts w:ascii="Arial" w:eastAsia="Calibri" w:hAnsi="Arial" w:hint="cs"/>
          <w:b/>
          <w:bCs/>
          <w:sz w:val="24"/>
          <w:rtl/>
        </w:rPr>
        <w:t xml:space="preserve">בכל מקרה </w:t>
      </w:r>
      <w:r w:rsidRPr="003D5F19">
        <w:rPr>
          <w:rFonts w:ascii="Arial" w:eastAsia="Calibri" w:hAnsi="Arial"/>
          <w:b/>
          <w:bCs/>
          <w:sz w:val="24"/>
          <w:rtl/>
        </w:rPr>
        <w:t>כל תקבול ותקבול המשתלם לעובד ממעבידו לפי מהותו ומאפייניו הפרטניים</w:t>
      </w:r>
      <w:r w:rsidRPr="003D5F19">
        <w:rPr>
          <w:rFonts w:ascii="Arial" w:eastAsia="Calibri" w:hAnsi="Arial" w:hint="cs"/>
          <w:b/>
          <w:bCs/>
          <w:sz w:val="24"/>
          <w:rtl/>
        </w:rPr>
        <w:t xml:space="preserve"> ולקבוע את חבות המס אם הפיצוי שולם בגין פגיעה בתנאי עבודה או לא.</w:t>
      </w:r>
      <w:r w:rsidRPr="003D5F19">
        <w:rPr>
          <w:rFonts w:ascii="Arial" w:eastAsia="Calibri" w:hAnsi="Arial"/>
          <w:b/>
          <w:bCs/>
          <w:sz w:val="24"/>
          <w:rtl/>
        </w:rPr>
        <w:t xml:space="preserve"> </w:t>
      </w:r>
    </w:p>
    <w:p w:rsidR="000118BE" w:rsidRPr="003D5F19" w:rsidRDefault="000118BE" w:rsidP="00A8553B">
      <w:pPr>
        <w:tabs>
          <w:tab w:val="left" w:pos="90"/>
        </w:tabs>
        <w:bidi/>
        <w:spacing w:line="360" w:lineRule="auto"/>
        <w:ind w:left="-90"/>
        <w:jc w:val="both"/>
        <w:rPr>
          <w:rFonts w:ascii="Arial" w:eastAsia="Calibri" w:hAnsi="Arial"/>
          <w:b/>
          <w:bCs/>
          <w:sz w:val="24"/>
          <w:rtl/>
        </w:rPr>
      </w:pPr>
      <w:r w:rsidRPr="003D5F19">
        <w:rPr>
          <w:rFonts w:ascii="Arial" w:eastAsia="Calibri" w:hAnsi="Arial"/>
          <w:b/>
          <w:bCs/>
          <w:sz w:val="24"/>
          <w:rtl/>
        </w:rPr>
        <w:t xml:space="preserve">השופט </w:t>
      </w:r>
      <w:r w:rsidRPr="003D5F19">
        <w:rPr>
          <w:rFonts w:ascii="Arial" w:eastAsia="Calibri" w:hAnsi="Arial" w:hint="cs"/>
          <w:b/>
          <w:bCs/>
          <w:sz w:val="24"/>
          <w:rtl/>
        </w:rPr>
        <w:t xml:space="preserve">עוזי </w:t>
      </w:r>
      <w:r w:rsidRPr="003D5F19">
        <w:rPr>
          <w:rFonts w:ascii="Arial" w:eastAsia="Calibri" w:hAnsi="Arial"/>
          <w:b/>
          <w:bCs/>
          <w:sz w:val="24"/>
          <w:rtl/>
        </w:rPr>
        <w:t xml:space="preserve">פוגלמן </w:t>
      </w:r>
      <w:r w:rsidRPr="003D5F19">
        <w:rPr>
          <w:rFonts w:ascii="Arial" w:eastAsia="Calibri" w:hAnsi="Arial" w:hint="cs"/>
          <w:b/>
          <w:bCs/>
          <w:sz w:val="24"/>
          <w:rtl/>
        </w:rPr>
        <w:t>סבר אף הוא, כי</w:t>
      </w:r>
      <w:r w:rsidRPr="003D5F19">
        <w:rPr>
          <w:rFonts w:ascii="Arial" w:eastAsia="Calibri" w:hAnsi="Arial"/>
          <w:b/>
          <w:bCs/>
          <w:sz w:val="24"/>
          <w:rtl/>
        </w:rPr>
        <w:t xml:space="preserve"> </w:t>
      </w:r>
      <w:r w:rsidRPr="003D5F19">
        <w:rPr>
          <w:rFonts w:ascii="Arial" w:eastAsia="Calibri" w:hAnsi="Arial" w:hint="cs"/>
          <w:b/>
          <w:bCs/>
          <w:sz w:val="24"/>
          <w:rtl/>
        </w:rPr>
        <w:t xml:space="preserve">מן הראוי לקבוע חזקה, שלפיה כל תקבול שמשולם לעובד ממעבידו הוא הכנסה פירותית שמקורה בעבודה, כך גם מענק שמשולם לעובדים בגין "ויתור" על זכותם לנקוט באמצעים ארגוניים כדי למנוע שינוי מבני וכדי להמשיך לעבוד אצל מעסיקם הקודם, אינו אלא פיצוי בגין הפגיעה האפשרית בתנאי העסקתם וככזה הוא מהווה הכנסת עבודה. יחד עם זאת, חזקה זו ניתנת לסתירה ומשכך, </w:t>
      </w:r>
      <w:r w:rsidRPr="003D5F19">
        <w:rPr>
          <w:rFonts w:ascii="Arial" w:eastAsia="Calibri" w:hAnsi="Arial"/>
          <w:b/>
          <w:bCs/>
          <w:sz w:val="24"/>
          <w:rtl/>
        </w:rPr>
        <w:t>על בי</w:t>
      </w:r>
      <w:r w:rsidRPr="003D5F19">
        <w:rPr>
          <w:rFonts w:ascii="Arial" w:eastAsia="Calibri" w:hAnsi="Arial" w:hint="cs"/>
          <w:b/>
          <w:bCs/>
          <w:sz w:val="24"/>
          <w:rtl/>
        </w:rPr>
        <w:t>ת המשפט</w:t>
      </w:r>
      <w:r w:rsidRPr="003D5F19">
        <w:rPr>
          <w:rFonts w:ascii="Arial" w:eastAsia="Calibri" w:hAnsi="Arial"/>
          <w:b/>
          <w:bCs/>
          <w:sz w:val="24"/>
          <w:rtl/>
        </w:rPr>
        <w:t xml:space="preserve"> להימנע מקביעת חזקה חלוטה ולבחון כל מקרה לגופו האם בהכנסה פירותית עסקינן, או ברווח הון. </w:t>
      </w:r>
    </w:p>
    <w:p w:rsidR="000118BE" w:rsidRDefault="000118BE" w:rsidP="00A8553B">
      <w:pPr>
        <w:tabs>
          <w:tab w:val="left" w:pos="90"/>
        </w:tabs>
        <w:bidi/>
        <w:spacing w:line="360" w:lineRule="auto"/>
        <w:ind w:left="-90"/>
        <w:jc w:val="both"/>
        <w:rPr>
          <w:sz w:val="22"/>
          <w:szCs w:val="22"/>
          <w:rtl/>
          <w:lang w:eastAsia="he-IL"/>
        </w:rPr>
      </w:pPr>
      <w:r w:rsidRPr="0008644F">
        <w:rPr>
          <w:rFonts w:hint="cs"/>
          <w:sz w:val="22"/>
          <w:szCs w:val="22"/>
          <w:rtl/>
        </w:rPr>
        <w:t xml:space="preserve">עא (עליון) 2640/11 </w:t>
      </w:r>
      <w:r w:rsidRPr="0008644F">
        <w:rPr>
          <w:color w:val="FF0000"/>
          <w:sz w:val="22"/>
          <w:szCs w:val="22"/>
        </w:rPr>
        <w:t>●</w:t>
      </w:r>
      <w:r w:rsidRPr="0008644F">
        <w:rPr>
          <w:rFonts w:hint="cs"/>
          <w:b/>
          <w:bCs/>
          <w:color w:val="FF0000"/>
          <w:sz w:val="22"/>
          <w:szCs w:val="22"/>
          <w:rtl/>
        </w:rPr>
        <w:t xml:space="preserve"> </w:t>
      </w:r>
      <w:r w:rsidRPr="0008644F">
        <w:rPr>
          <w:rFonts w:hint="cs"/>
          <w:b/>
          <w:bCs/>
          <w:sz w:val="22"/>
          <w:szCs w:val="22"/>
          <w:rtl/>
        </w:rPr>
        <w:t>פקיד שומה חיפה נ' חיים ניסים</w:t>
      </w:r>
      <w:r w:rsidRPr="0008644F">
        <w:rPr>
          <w:rFonts w:hint="cs"/>
          <w:sz w:val="22"/>
          <w:szCs w:val="22"/>
          <w:rtl/>
        </w:rPr>
        <w:t xml:space="preserve"> (2.2.14) </w:t>
      </w:r>
      <w:r w:rsidRPr="0008644F">
        <w:rPr>
          <w:sz w:val="22"/>
          <w:szCs w:val="22"/>
        </w:rPr>
        <w:t xml:space="preserve"> </w:t>
      </w:r>
      <w:r w:rsidRPr="0008644F">
        <w:rPr>
          <w:color w:val="FF0000"/>
          <w:sz w:val="22"/>
          <w:szCs w:val="22"/>
        </w:rPr>
        <w:t>●</w:t>
      </w:r>
      <w:r w:rsidRPr="0008644F">
        <w:rPr>
          <w:rFonts w:hint="cs"/>
          <w:sz w:val="22"/>
          <w:szCs w:val="22"/>
          <w:rtl/>
        </w:rPr>
        <w:t>בפני כבוד המשנה לנשיא מ' נאור, כבוד השופטת א' חיות, כבוד השופט ע' פוגלמן</w:t>
      </w:r>
    </w:p>
    <w:p w:rsidR="000118BE" w:rsidRDefault="000118BE" w:rsidP="00A8553B">
      <w:pPr>
        <w:tabs>
          <w:tab w:val="left" w:pos="90"/>
        </w:tabs>
        <w:bidi/>
        <w:spacing w:line="360" w:lineRule="auto"/>
        <w:ind w:left="-90"/>
        <w:jc w:val="both"/>
        <w:rPr>
          <w:color w:val="0000FF"/>
          <w:sz w:val="22"/>
          <w:szCs w:val="22"/>
          <w:rtl/>
          <w:lang w:eastAsia="he-IL"/>
        </w:rPr>
      </w:pPr>
    </w:p>
    <w:p w:rsidR="00287A86" w:rsidRDefault="00287A86" w:rsidP="00287A86">
      <w:pPr>
        <w:tabs>
          <w:tab w:val="left" w:pos="90"/>
        </w:tabs>
        <w:bidi/>
        <w:spacing w:line="360" w:lineRule="auto"/>
        <w:ind w:left="-90"/>
        <w:jc w:val="both"/>
        <w:rPr>
          <w:color w:val="0000FF"/>
          <w:sz w:val="22"/>
          <w:szCs w:val="22"/>
          <w:rtl/>
          <w:lang w:eastAsia="he-IL"/>
        </w:rPr>
      </w:pPr>
    </w:p>
    <w:p w:rsidR="00287A86" w:rsidRDefault="00287A86" w:rsidP="00287A86">
      <w:pPr>
        <w:tabs>
          <w:tab w:val="left" w:pos="90"/>
        </w:tabs>
        <w:bidi/>
        <w:spacing w:line="360" w:lineRule="auto"/>
        <w:ind w:left="-90"/>
        <w:jc w:val="both"/>
        <w:rPr>
          <w:color w:val="0000FF"/>
          <w:sz w:val="22"/>
          <w:szCs w:val="22"/>
          <w:rtl/>
          <w:lang w:eastAsia="he-IL"/>
        </w:rPr>
      </w:pPr>
    </w:p>
    <w:p w:rsidR="00287A86" w:rsidRDefault="00287A86" w:rsidP="00287A86">
      <w:pPr>
        <w:tabs>
          <w:tab w:val="left" w:pos="90"/>
        </w:tabs>
        <w:bidi/>
        <w:spacing w:line="360" w:lineRule="auto"/>
        <w:ind w:left="-90"/>
        <w:jc w:val="both"/>
        <w:rPr>
          <w:color w:val="0000FF"/>
          <w:sz w:val="22"/>
          <w:szCs w:val="22"/>
          <w:rtl/>
          <w:lang w:eastAsia="he-IL"/>
        </w:rPr>
      </w:pPr>
    </w:p>
    <w:p w:rsidR="00287A86" w:rsidRPr="00E20BD3" w:rsidRDefault="00287A86" w:rsidP="00287A86">
      <w:pPr>
        <w:tabs>
          <w:tab w:val="left" w:pos="90"/>
        </w:tabs>
        <w:bidi/>
        <w:spacing w:line="360" w:lineRule="auto"/>
        <w:ind w:left="-90"/>
        <w:jc w:val="both"/>
        <w:rPr>
          <w:color w:val="0000FF"/>
          <w:sz w:val="22"/>
          <w:szCs w:val="22"/>
          <w:rtl/>
          <w:lang w:eastAsia="he-IL"/>
        </w:rPr>
      </w:pPr>
    </w:p>
    <w:p w:rsidR="000118BE" w:rsidRPr="00E20BD3" w:rsidRDefault="000118BE" w:rsidP="00A8553B">
      <w:pPr>
        <w:numPr>
          <w:ilvl w:val="0"/>
          <w:numId w:val="30"/>
        </w:numPr>
        <w:tabs>
          <w:tab w:val="left" w:pos="70"/>
        </w:tabs>
        <w:bidi/>
        <w:spacing w:line="360" w:lineRule="auto"/>
        <w:ind w:left="647" w:hanging="284"/>
        <w:jc w:val="both"/>
        <w:rPr>
          <w:rFonts w:ascii="Arial" w:hAnsi="Arial"/>
          <w:b/>
          <w:bCs/>
          <w:color w:val="0000FF"/>
          <w:sz w:val="24"/>
          <w:u w:val="single"/>
        </w:rPr>
      </w:pPr>
      <w:r w:rsidRPr="00E20BD3">
        <w:rPr>
          <w:rFonts w:ascii="Arial" w:hAnsi="Arial" w:hint="cs"/>
          <w:b/>
          <w:bCs/>
          <w:color w:val="0000FF"/>
          <w:sz w:val="24"/>
          <w:u w:val="single"/>
          <w:rtl/>
        </w:rPr>
        <w:lastRenderedPageBreak/>
        <w:t>מענק ששולם לעובד עבור אי תחרות ימוסה כתקבול הוני</w:t>
      </w:r>
    </w:p>
    <w:p w:rsidR="000118BE" w:rsidRPr="00015500" w:rsidRDefault="000118BE" w:rsidP="00A8553B">
      <w:pPr>
        <w:tabs>
          <w:tab w:val="left" w:pos="70"/>
        </w:tabs>
        <w:bidi/>
        <w:spacing w:line="360" w:lineRule="auto"/>
        <w:jc w:val="both"/>
        <w:rPr>
          <w:rFonts w:ascii="Arial" w:hAnsi="Arial"/>
          <w:b/>
          <w:bCs/>
          <w:color w:val="008000"/>
          <w:sz w:val="24"/>
          <w:u w:val="single"/>
          <w:rtl/>
        </w:rPr>
      </w:pPr>
    </w:p>
    <w:p w:rsidR="000118BE" w:rsidRPr="000F32BE" w:rsidRDefault="000118BE" w:rsidP="00A8553B">
      <w:pPr>
        <w:tabs>
          <w:tab w:val="left" w:pos="90"/>
        </w:tabs>
        <w:bidi/>
        <w:spacing w:line="360" w:lineRule="auto"/>
        <w:ind w:left="-90"/>
        <w:jc w:val="both"/>
        <w:rPr>
          <w:rFonts w:ascii="Arial" w:eastAsia="Calibri" w:hAnsi="Arial"/>
          <w:b/>
          <w:bCs/>
          <w:sz w:val="24"/>
          <w:rtl/>
        </w:rPr>
      </w:pPr>
      <w:r w:rsidRPr="000F32BE">
        <w:rPr>
          <w:rFonts w:ascii="Arial" w:eastAsia="Calibri" w:hAnsi="Arial" w:hint="cs"/>
          <w:b/>
          <w:bCs/>
          <w:sz w:val="24"/>
          <w:rtl/>
        </w:rPr>
        <w:t xml:space="preserve">אבידן עבד כשכיר בחברת ג'ונסון ישראל, כמנהל חטיבת השיווק של מוצרים בתחום הכירורגיה.  ב- 7.3.06, הושגה הסכמה בין אבידן לבין מעסיקתו בדבר תנאי הפרישה לפיה אבידן יזכה לפיצויי פיטורים בסך 46,628 ₪ ובנוסף, יקבל מענק בסך 979,188 ₪ (להלן- התקבול) תמורת התחייבותו שלא להתחרות בג'ונסון ישראל למשך 24 חודשים. </w:t>
      </w:r>
    </w:p>
    <w:p w:rsidR="000118BE" w:rsidRPr="000F32BE" w:rsidRDefault="000118BE" w:rsidP="00A8553B">
      <w:pPr>
        <w:tabs>
          <w:tab w:val="left" w:pos="90"/>
        </w:tabs>
        <w:bidi/>
        <w:spacing w:line="360" w:lineRule="auto"/>
        <w:ind w:left="-90"/>
        <w:jc w:val="both"/>
        <w:rPr>
          <w:rFonts w:ascii="Arial" w:eastAsia="Calibri" w:hAnsi="Arial"/>
          <w:b/>
          <w:bCs/>
          <w:sz w:val="24"/>
          <w:rtl/>
        </w:rPr>
      </w:pPr>
      <w:r w:rsidRPr="000F32BE">
        <w:rPr>
          <w:rFonts w:ascii="Arial" w:eastAsia="Calibri" w:hAnsi="Arial" w:hint="cs"/>
          <w:b/>
          <w:bCs/>
          <w:sz w:val="24"/>
          <w:rtl/>
        </w:rPr>
        <w:t>אבידן הגיש דין וחשבון שנתי על הכנסותיו לפקיד השומה ורשם את התקבול כהכנסה מרווח הון לפי שיעור מס של 20% בלבד. פקיד השומה לא קיבל את הצהרתו וחייב את התקבול כהכנסה פירותית.</w:t>
      </w:r>
    </w:p>
    <w:p w:rsidR="000118BE" w:rsidRPr="000F32BE" w:rsidRDefault="000118BE" w:rsidP="00A8553B">
      <w:pPr>
        <w:tabs>
          <w:tab w:val="left" w:pos="90"/>
        </w:tabs>
        <w:bidi/>
        <w:spacing w:line="360" w:lineRule="auto"/>
        <w:ind w:left="-90"/>
        <w:jc w:val="both"/>
        <w:rPr>
          <w:rFonts w:ascii="Arial" w:eastAsia="Calibri" w:hAnsi="Arial"/>
          <w:b/>
          <w:bCs/>
          <w:sz w:val="24"/>
          <w:rtl/>
        </w:rPr>
      </w:pPr>
      <w:r w:rsidRPr="000F32BE">
        <w:rPr>
          <w:rFonts w:ascii="Arial" w:eastAsia="Calibri" w:hAnsi="Arial" w:hint="cs"/>
          <w:b/>
          <w:bCs/>
          <w:sz w:val="24"/>
          <w:rtl/>
        </w:rPr>
        <w:t xml:space="preserve">בית המשפט המחוזי קיבל את ערעור המס של מר אבידן ופסק כי סיווג תקבול שמשלם מעסיק לעובד שסיים עבודתו בתמורה להתחייבות העובד להימנע מתחרות, מותנה בנסיבותיו של כל מקרה. ככל שהתקבול משולם בגין התחייבות להימנע מתחרות שיש בה משום ויתור זכות לשימוש בגורמי הייצור של העובד, בכושר עבודתו בתחום עיסוקו, הרי שהתקבול יסווג כתקבול הוני. ככל שהתקבול ישולם בגין הפסד הכנסה שוטפת, יסווג כתקבול פירותי. </w:t>
      </w:r>
    </w:p>
    <w:p w:rsidR="000118BE" w:rsidRPr="000F32BE" w:rsidRDefault="000118BE" w:rsidP="00A8553B">
      <w:pPr>
        <w:tabs>
          <w:tab w:val="left" w:pos="90"/>
        </w:tabs>
        <w:bidi/>
        <w:spacing w:line="360" w:lineRule="auto"/>
        <w:ind w:left="-90"/>
        <w:jc w:val="both"/>
        <w:rPr>
          <w:rFonts w:ascii="Arial" w:eastAsia="Calibri" w:hAnsi="Arial"/>
          <w:b/>
          <w:bCs/>
          <w:sz w:val="24"/>
          <w:rtl/>
        </w:rPr>
      </w:pPr>
      <w:r w:rsidRPr="000F32BE">
        <w:rPr>
          <w:rFonts w:ascii="Arial" w:eastAsia="Calibri" w:hAnsi="Arial" w:hint="cs"/>
          <w:b/>
          <w:bCs/>
          <w:sz w:val="24"/>
          <w:rtl/>
        </w:rPr>
        <w:t xml:space="preserve">בענייננו, פסק בית המשפט המחוזי כי מדובר בתקבול בגין מניעת תחרות, דהיינו בגין ויתורו של אבידן על זכותו לעסוק באותו תחום ולעבוד אצל מתחרים למשך 24 חודשים. הויתור על הזכות לעשות שימוש בכישורי העבודה בתחום, למשך 24 חודשים, הינו ויתור על זכות ממשית, בעלת ערך כלכלי ולכן יש לראות בתקבול זה כתקבול הוני בגין מכירת נכס החייב בשיעור המס המופחת.  </w:t>
      </w:r>
    </w:p>
    <w:p w:rsidR="000118BE" w:rsidRPr="000F32BE" w:rsidRDefault="000118BE" w:rsidP="00A8553B">
      <w:pPr>
        <w:tabs>
          <w:tab w:val="left" w:pos="90"/>
        </w:tabs>
        <w:bidi/>
        <w:spacing w:line="360" w:lineRule="auto"/>
        <w:ind w:left="-90"/>
        <w:jc w:val="both"/>
        <w:rPr>
          <w:sz w:val="22"/>
          <w:szCs w:val="22"/>
          <w:rtl/>
          <w:lang w:eastAsia="he-IL"/>
        </w:rPr>
      </w:pPr>
      <w:r w:rsidRPr="000F32BE">
        <w:rPr>
          <w:rFonts w:ascii="David" w:hAnsi="David" w:hint="cs"/>
          <w:sz w:val="22"/>
          <w:szCs w:val="22"/>
          <w:rtl/>
        </w:rPr>
        <w:t>עמ (חי')</w:t>
      </w:r>
      <w:r w:rsidRPr="000F32BE">
        <w:rPr>
          <w:rFonts w:ascii="David" w:hAnsi="David"/>
          <w:sz w:val="22"/>
          <w:szCs w:val="22"/>
          <w:rtl/>
        </w:rPr>
        <w:t xml:space="preserve"> </w:t>
      </w:r>
      <w:r w:rsidRPr="000F32BE">
        <w:rPr>
          <w:rFonts w:ascii="David" w:hAnsi="David" w:hint="cs"/>
          <w:sz w:val="22"/>
          <w:szCs w:val="22"/>
          <w:rtl/>
        </w:rPr>
        <w:t xml:space="preserve">24270-01-11 </w:t>
      </w:r>
      <w:r w:rsidRPr="000F32BE">
        <w:rPr>
          <w:b/>
          <w:bCs/>
          <w:color w:val="FF0000"/>
          <w:sz w:val="22"/>
          <w:szCs w:val="22"/>
        </w:rPr>
        <w:t>●</w:t>
      </w:r>
      <w:r w:rsidRPr="000F32BE">
        <w:rPr>
          <w:rFonts w:ascii="David" w:hAnsi="David" w:hint="cs"/>
          <w:b/>
          <w:bCs/>
          <w:sz w:val="22"/>
          <w:szCs w:val="22"/>
          <w:rtl/>
        </w:rPr>
        <w:t xml:space="preserve"> מאיר אבידן נ' פקיד השומה חיפה</w:t>
      </w:r>
      <w:r w:rsidRPr="000F32BE">
        <w:rPr>
          <w:rFonts w:ascii="David" w:hAnsi="David" w:hint="cs"/>
          <w:sz w:val="22"/>
          <w:szCs w:val="22"/>
          <w:rtl/>
        </w:rPr>
        <w:t xml:space="preserve"> (07.08.13) </w:t>
      </w:r>
      <w:r w:rsidRPr="000F32BE">
        <w:rPr>
          <w:b/>
          <w:bCs/>
          <w:color w:val="FF0000"/>
          <w:sz w:val="22"/>
          <w:szCs w:val="22"/>
        </w:rPr>
        <w:t>●</w:t>
      </w:r>
      <w:r w:rsidRPr="000F32BE">
        <w:rPr>
          <w:rFonts w:ascii="David" w:hAnsi="David" w:hint="cs"/>
          <w:sz w:val="22"/>
          <w:szCs w:val="22"/>
          <w:rtl/>
        </w:rPr>
        <w:t xml:space="preserve"> בפני כבוד השופט רון סוקול</w:t>
      </w:r>
    </w:p>
    <w:p w:rsidR="000118BE" w:rsidRDefault="000118BE" w:rsidP="00A8553B">
      <w:pPr>
        <w:tabs>
          <w:tab w:val="left" w:pos="90"/>
        </w:tabs>
        <w:bidi/>
        <w:spacing w:line="360" w:lineRule="auto"/>
        <w:ind w:left="-90"/>
        <w:jc w:val="both"/>
        <w:rPr>
          <w:sz w:val="22"/>
          <w:szCs w:val="22"/>
          <w:rtl/>
          <w:lang w:eastAsia="he-IL"/>
        </w:rPr>
      </w:pPr>
    </w:p>
    <w:p w:rsidR="000118BE" w:rsidRPr="00E20BD3" w:rsidRDefault="000118BE" w:rsidP="00A8553B">
      <w:pPr>
        <w:numPr>
          <w:ilvl w:val="0"/>
          <w:numId w:val="30"/>
        </w:numPr>
        <w:tabs>
          <w:tab w:val="left" w:pos="70"/>
        </w:tabs>
        <w:bidi/>
        <w:spacing w:line="360" w:lineRule="auto"/>
        <w:ind w:left="647" w:hanging="284"/>
        <w:jc w:val="both"/>
        <w:rPr>
          <w:rFonts w:ascii="Arial" w:hAnsi="Arial"/>
          <w:b/>
          <w:bCs/>
          <w:color w:val="0000FF"/>
          <w:sz w:val="24"/>
          <w:u w:val="single"/>
        </w:rPr>
      </w:pPr>
      <w:r w:rsidRPr="00E20BD3">
        <w:rPr>
          <w:rFonts w:ascii="Arial" w:hAnsi="Arial" w:hint="cs"/>
          <w:b/>
          <w:bCs/>
          <w:color w:val="0000FF"/>
          <w:sz w:val="24"/>
          <w:u w:val="single"/>
          <w:rtl/>
        </w:rPr>
        <w:t>המס בגין מענק אי תחרות הוא מס הוני ולא פירותי</w:t>
      </w:r>
    </w:p>
    <w:p w:rsidR="000118BE" w:rsidRPr="00015500" w:rsidRDefault="000118BE" w:rsidP="00A8553B">
      <w:pPr>
        <w:tabs>
          <w:tab w:val="left" w:pos="70"/>
        </w:tabs>
        <w:bidi/>
        <w:spacing w:line="360" w:lineRule="auto"/>
        <w:jc w:val="both"/>
        <w:rPr>
          <w:rFonts w:ascii="Arial" w:hAnsi="Arial"/>
          <w:b/>
          <w:bCs/>
          <w:color w:val="008000"/>
          <w:sz w:val="24"/>
          <w:u w:val="single"/>
          <w:rtl/>
        </w:rPr>
      </w:pPr>
    </w:p>
    <w:p w:rsidR="000118BE" w:rsidRPr="00444FB2" w:rsidRDefault="000118BE" w:rsidP="00A8553B">
      <w:pPr>
        <w:tabs>
          <w:tab w:val="left" w:pos="-102"/>
        </w:tabs>
        <w:bidi/>
        <w:spacing w:line="360" w:lineRule="auto"/>
        <w:ind w:left="-101"/>
        <w:jc w:val="both"/>
        <w:rPr>
          <w:rFonts w:ascii="Arial" w:eastAsia="Calibri" w:hAnsi="Arial"/>
          <w:b/>
          <w:bCs/>
          <w:sz w:val="24"/>
          <w:rtl/>
        </w:rPr>
      </w:pPr>
      <w:r w:rsidRPr="00444FB2">
        <w:rPr>
          <w:rFonts w:ascii="Arial" w:eastAsia="Calibri" w:hAnsi="Arial"/>
          <w:b/>
          <w:bCs/>
          <w:sz w:val="24"/>
          <w:rtl/>
        </w:rPr>
        <w:t>בית</w:t>
      </w:r>
      <w:r w:rsidRPr="00444FB2">
        <w:rPr>
          <w:rFonts w:ascii="Arial" w:eastAsia="Calibri" w:hAnsi="Arial" w:hint="cs"/>
          <w:b/>
          <w:bCs/>
          <w:sz w:val="24"/>
          <w:rtl/>
        </w:rPr>
        <w:t xml:space="preserve"> המשפט המחוזי בלוד קיבל חלקית ערעור של עובד לשעבר בעניין סיווג התשלום אותו קיבל עת סיים את העסקתו בחברה מכוח תניית אי תחרות בהסכם העסקתו בחברה. השאלה המרכזית הנדונה בפסק-הדין היא האם תשלום בגין אי תחרות הוא </w:t>
      </w:r>
      <w:r w:rsidRPr="00444FB2">
        <w:rPr>
          <w:rFonts w:ascii="Arial" w:eastAsia="Calibri" w:hAnsi="Arial" w:hint="eastAsia"/>
          <w:b/>
          <w:bCs/>
          <w:sz w:val="24"/>
          <w:rtl/>
        </w:rPr>
        <w:t>תקבול</w:t>
      </w:r>
      <w:r w:rsidRPr="00444FB2">
        <w:rPr>
          <w:rFonts w:ascii="Arial" w:eastAsia="Calibri" w:hAnsi="Arial"/>
          <w:b/>
          <w:bCs/>
          <w:sz w:val="24"/>
          <w:rtl/>
        </w:rPr>
        <w:t xml:space="preserve"> </w:t>
      </w:r>
      <w:r w:rsidRPr="00444FB2">
        <w:rPr>
          <w:rFonts w:ascii="Arial" w:eastAsia="Calibri" w:hAnsi="Arial" w:hint="eastAsia"/>
          <w:b/>
          <w:bCs/>
          <w:sz w:val="24"/>
          <w:rtl/>
        </w:rPr>
        <w:t>הוני</w:t>
      </w:r>
      <w:r w:rsidRPr="00444FB2">
        <w:rPr>
          <w:rFonts w:ascii="Arial" w:eastAsia="Calibri" w:hAnsi="Arial"/>
          <w:b/>
          <w:bCs/>
          <w:sz w:val="24"/>
          <w:rtl/>
        </w:rPr>
        <w:t xml:space="preserve"> </w:t>
      </w:r>
      <w:r w:rsidRPr="00444FB2">
        <w:rPr>
          <w:rFonts w:ascii="Arial" w:eastAsia="Calibri" w:hAnsi="Arial" w:hint="eastAsia"/>
          <w:b/>
          <w:bCs/>
          <w:sz w:val="24"/>
          <w:rtl/>
        </w:rPr>
        <w:t>החייב</w:t>
      </w:r>
      <w:r w:rsidRPr="00444FB2">
        <w:rPr>
          <w:rFonts w:ascii="Arial" w:eastAsia="Calibri" w:hAnsi="Arial"/>
          <w:b/>
          <w:bCs/>
          <w:sz w:val="24"/>
          <w:rtl/>
        </w:rPr>
        <w:t xml:space="preserve"> </w:t>
      </w:r>
      <w:r w:rsidRPr="00444FB2">
        <w:rPr>
          <w:rFonts w:ascii="Arial" w:eastAsia="Calibri" w:hAnsi="Arial" w:hint="eastAsia"/>
          <w:b/>
          <w:bCs/>
          <w:sz w:val="24"/>
          <w:rtl/>
        </w:rPr>
        <w:t>במס</w:t>
      </w:r>
      <w:r w:rsidRPr="00444FB2">
        <w:rPr>
          <w:rFonts w:ascii="Arial" w:eastAsia="Calibri" w:hAnsi="Arial"/>
          <w:b/>
          <w:bCs/>
          <w:sz w:val="24"/>
          <w:rtl/>
        </w:rPr>
        <w:t xml:space="preserve"> </w:t>
      </w:r>
      <w:r w:rsidRPr="00444FB2">
        <w:rPr>
          <w:rFonts w:ascii="Arial" w:eastAsia="Calibri" w:hAnsi="Arial" w:hint="eastAsia"/>
          <w:b/>
          <w:bCs/>
          <w:sz w:val="24"/>
          <w:rtl/>
        </w:rPr>
        <w:t>בשיעור</w:t>
      </w:r>
      <w:r w:rsidRPr="00444FB2">
        <w:rPr>
          <w:rFonts w:ascii="Arial" w:eastAsia="Calibri" w:hAnsi="Arial"/>
          <w:b/>
          <w:bCs/>
          <w:sz w:val="24"/>
          <w:rtl/>
        </w:rPr>
        <w:t xml:space="preserve"> </w:t>
      </w:r>
      <w:r w:rsidRPr="00444FB2">
        <w:rPr>
          <w:rFonts w:ascii="Arial" w:eastAsia="Calibri" w:hAnsi="Arial" w:hint="eastAsia"/>
          <w:b/>
          <w:bCs/>
          <w:sz w:val="24"/>
          <w:rtl/>
        </w:rPr>
        <w:t>קבוע</w:t>
      </w:r>
      <w:r w:rsidRPr="00444FB2">
        <w:rPr>
          <w:rFonts w:ascii="Arial" w:eastAsia="Calibri" w:hAnsi="Arial" w:hint="cs"/>
          <w:b/>
          <w:bCs/>
          <w:sz w:val="24"/>
          <w:rtl/>
        </w:rPr>
        <w:t xml:space="preserve"> מיוחד</w:t>
      </w:r>
      <w:r w:rsidRPr="00444FB2">
        <w:rPr>
          <w:rFonts w:ascii="Arial" w:eastAsia="Calibri" w:hAnsi="Arial"/>
          <w:b/>
          <w:bCs/>
          <w:sz w:val="24"/>
          <w:rtl/>
        </w:rPr>
        <w:t xml:space="preserve">, </w:t>
      </w:r>
      <w:r w:rsidRPr="00444FB2">
        <w:rPr>
          <w:rFonts w:ascii="Arial" w:eastAsia="Calibri" w:hAnsi="Arial" w:hint="cs"/>
          <w:b/>
          <w:bCs/>
          <w:sz w:val="24"/>
          <w:rtl/>
        </w:rPr>
        <w:t>או שמא</w:t>
      </w:r>
      <w:r w:rsidRPr="00444FB2">
        <w:rPr>
          <w:rFonts w:ascii="Arial" w:eastAsia="Calibri" w:hAnsi="Arial"/>
          <w:b/>
          <w:bCs/>
          <w:sz w:val="24"/>
          <w:rtl/>
        </w:rPr>
        <w:t xml:space="preserve"> </w:t>
      </w:r>
      <w:r w:rsidRPr="00444FB2">
        <w:rPr>
          <w:rFonts w:ascii="Arial" w:eastAsia="Calibri" w:hAnsi="Arial" w:hint="eastAsia"/>
          <w:b/>
          <w:bCs/>
          <w:sz w:val="24"/>
          <w:rtl/>
        </w:rPr>
        <w:t>מדובר</w:t>
      </w:r>
      <w:r w:rsidRPr="00444FB2">
        <w:rPr>
          <w:rFonts w:ascii="Arial" w:eastAsia="Calibri" w:hAnsi="Arial"/>
          <w:b/>
          <w:bCs/>
          <w:sz w:val="24"/>
          <w:rtl/>
        </w:rPr>
        <w:t xml:space="preserve"> </w:t>
      </w:r>
      <w:r w:rsidRPr="00444FB2">
        <w:rPr>
          <w:rFonts w:ascii="Arial" w:eastAsia="Calibri" w:hAnsi="Arial" w:hint="eastAsia"/>
          <w:b/>
          <w:bCs/>
          <w:sz w:val="24"/>
          <w:rtl/>
        </w:rPr>
        <w:t>בתקבול</w:t>
      </w:r>
      <w:r w:rsidRPr="00444FB2">
        <w:rPr>
          <w:rFonts w:ascii="Arial" w:eastAsia="Calibri" w:hAnsi="Arial"/>
          <w:b/>
          <w:bCs/>
          <w:sz w:val="24"/>
          <w:rtl/>
        </w:rPr>
        <w:t xml:space="preserve"> </w:t>
      </w:r>
      <w:r w:rsidRPr="00444FB2">
        <w:rPr>
          <w:rFonts w:ascii="Arial" w:eastAsia="Calibri" w:hAnsi="Arial" w:hint="eastAsia"/>
          <w:b/>
          <w:bCs/>
          <w:sz w:val="24"/>
          <w:rtl/>
        </w:rPr>
        <w:t>פירותי</w:t>
      </w:r>
      <w:r w:rsidRPr="00444FB2">
        <w:rPr>
          <w:rFonts w:ascii="Arial" w:eastAsia="Calibri" w:hAnsi="Arial"/>
          <w:b/>
          <w:bCs/>
          <w:sz w:val="24"/>
          <w:rtl/>
        </w:rPr>
        <w:t xml:space="preserve"> </w:t>
      </w:r>
      <w:r w:rsidRPr="00444FB2">
        <w:rPr>
          <w:rFonts w:ascii="Arial" w:eastAsia="Calibri" w:hAnsi="Arial" w:hint="eastAsia"/>
          <w:b/>
          <w:bCs/>
          <w:sz w:val="24"/>
          <w:rtl/>
        </w:rPr>
        <w:t>המצטרף</w:t>
      </w:r>
      <w:r w:rsidRPr="00444FB2">
        <w:rPr>
          <w:rFonts w:ascii="Arial" w:eastAsia="Calibri" w:hAnsi="Arial"/>
          <w:b/>
          <w:bCs/>
          <w:sz w:val="24"/>
          <w:rtl/>
        </w:rPr>
        <w:t xml:space="preserve"> </w:t>
      </w:r>
      <w:r w:rsidRPr="00444FB2">
        <w:rPr>
          <w:rFonts w:ascii="Arial" w:eastAsia="Calibri" w:hAnsi="Arial" w:hint="eastAsia"/>
          <w:b/>
          <w:bCs/>
          <w:sz w:val="24"/>
          <w:rtl/>
        </w:rPr>
        <w:t>להכנסה</w:t>
      </w:r>
      <w:r w:rsidRPr="00444FB2">
        <w:rPr>
          <w:rFonts w:ascii="Arial" w:eastAsia="Calibri" w:hAnsi="Arial"/>
          <w:b/>
          <w:bCs/>
          <w:sz w:val="24"/>
          <w:rtl/>
        </w:rPr>
        <w:t xml:space="preserve"> </w:t>
      </w:r>
      <w:r w:rsidRPr="00444FB2">
        <w:rPr>
          <w:rFonts w:ascii="Arial" w:eastAsia="Calibri" w:hAnsi="Arial" w:hint="eastAsia"/>
          <w:b/>
          <w:bCs/>
          <w:sz w:val="24"/>
          <w:rtl/>
        </w:rPr>
        <w:t>מיגיעה</w:t>
      </w:r>
      <w:r w:rsidRPr="00444FB2">
        <w:rPr>
          <w:rFonts w:ascii="Arial" w:eastAsia="Calibri" w:hAnsi="Arial"/>
          <w:b/>
          <w:bCs/>
          <w:sz w:val="24"/>
          <w:rtl/>
        </w:rPr>
        <w:t xml:space="preserve"> </w:t>
      </w:r>
      <w:r w:rsidRPr="00444FB2">
        <w:rPr>
          <w:rFonts w:ascii="Arial" w:eastAsia="Calibri" w:hAnsi="Arial" w:hint="eastAsia"/>
          <w:b/>
          <w:bCs/>
          <w:sz w:val="24"/>
          <w:rtl/>
        </w:rPr>
        <w:t>אישית</w:t>
      </w:r>
      <w:r w:rsidRPr="00444FB2">
        <w:rPr>
          <w:rFonts w:ascii="Arial" w:eastAsia="Calibri" w:hAnsi="Arial" w:hint="cs"/>
          <w:b/>
          <w:bCs/>
          <w:sz w:val="24"/>
          <w:rtl/>
        </w:rPr>
        <w:t xml:space="preserve"> החייב במס בשיעור רגיל</w:t>
      </w:r>
      <w:r w:rsidRPr="00444FB2">
        <w:rPr>
          <w:rFonts w:ascii="Arial" w:eastAsia="Calibri" w:hAnsi="Arial"/>
          <w:b/>
          <w:bCs/>
          <w:sz w:val="24"/>
          <w:rtl/>
        </w:rPr>
        <w:t>.</w:t>
      </w:r>
      <w:r w:rsidRPr="00444FB2">
        <w:rPr>
          <w:rFonts w:ascii="Arial" w:eastAsia="Calibri" w:hAnsi="Arial" w:hint="cs"/>
          <w:b/>
          <w:bCs/>
          <w:sz w:val="24"/>
          <w:rtl/>
        </w:rPr>
        <w:t xml:space="preserve"> בית המשפט קבע כי </w:t>
      </w:r>
      <w:r w:rsidRPr="00444FB2">
        <w:rPr>
          <w:rFonts w:ascii="Arial" w:eastAsia="Calibri" w:hAnsi="Arial" w:hint="eastAsia"/>
          <w:b/>
          <w:bCs/>
          <w:sz w:val="24"/>
          <w:rtl/>
        </w:rPr>
        <w:t>ויתור</w:t>
      </w:r>
      <w:r w:rsidRPr="00444FB2">
        <w:rPr>
          <w:rFonts w:ascii="Arial" w:eastAsia="Calibri" w:hAnsi="Arial"/>
          <w:b/>
          <w:bCs/>
          <w:sz w:val="24"/>
          <w:rtl/>
        </w:rPr>
        <w:t xml:space="preserve"> </w:t>
      </w:r>
      <w:r w:rsidRPr="00444FB2">
        <w:rPr>
          <w:rFonts w:ascii="Arial" w:eastAsia="Calibri" w:hAnsi="Arial" w:hint="cs"/>
          <w:b/>
          <w:bCs/>
          <w:sz w:val="24"/>
          <w:rtl/>
        </w:rPr>
        <w:t xml:space="preserve">עובד </w:t>
      </w:r>
      <w:r w:rsidRPr="00444FB2">
        <w:rPr>
          <w:rFonts w:ascii="Arial" w:eastAsia="Calibri" w:hAnsi="Arial" w:hint="eastAsia"/>
          <w:b/>
          <w:bCs/>
          <w:sz w:val="24"/>
          <w:rtl/>
        </w:rPr>
        <w:t>על</w:t>
      </w:r>
      <w:r w:rsidRPr="00444FB2">
        <w:rPr>
          <w:rFonts w:ascii="Arial" w:eastAsia="Calibri" w:hAnsi="Arial"/>
          <w:b/>
          <w:bCs/>
          <w:sz w:val="24"/>
          <w:rtl/>
        </w:rPr>
        <w:t xml:space="preserve"> </w:t>
      </w:r>
      <w:r w:rsidRPr="00444FB2">
        <w:rPr>
          <w:rFonts w:ascii="Arial" w:eastAsia="Calibri" w:hAnsi="Arial" w:hint="eastAsia"/>
          <w:b/>
          <w:bCs/>
          <w:sz w:val="24"/>
          <w:rtl/>
        </w:rPr>
        <w:t>הזכות</w:t>
      </w:r>
      <w:r w:rsidRPr="00444FB2">
        <w:rPr>
          <w:rFonts w:ascii="Arial" w:eastAsia="Calibri" w:hAnsi="Arial"/>
          <w:b/>
          <w:bCs/>
          <w:sz w:val="24"/>
          <w:rtl/>
        </w:rPr>
        <w:t xml:space="preserve"> </w:t>
      </w:r>
      <w:r w:rsidRPr="00444FB2">
        <w:rPr>
          <w:rFonts w:ascii="Arial" w:eastAsia="Calibri" w:hAnsi="Arial" w:hint="eastAsia"/>
          <w:b/>
          <w:bCs/>
          <w:sz w:val="24"/>
          <w:rtl/>
        </w:rPr>
        <w:t>להתחרות</w:t>
      </w:r>
      <w:r w:rsidRPr="00444FB2">
        <w:rPr>
          <w:rFonts w:ascii="Arial" w:eastAsia="Calibri" w:hAnsi="Arial"/>
          <w:b/>
          <w:bCs/>
          <w:sz w:val="24"/>
          <w:rtl/>
        </w:rPr>
        <w:t xml:space="preserve"> </w:t>
      </w:r>
      <w:r w:rsidRPr="00444FB2">
        <w:rPr>
          <w:rFonts w:ascii="Arial" w:eastAsia="Calibri" w:hAnsi="Arial" w:hint="eastAsia"/>
          <w:b/>
          <w:bCs/>
          <w:sz w:val="24"/>
          <w:rtl/>
        </w:rPr>
        <w:t>על</w:t>
      </w:r>
      <w:r w:rsidRPr="00444FB2">
        <w:rPr>
          <w:rFonts w:ascii="Arial" w:eastAsia="Calibri" w:hAnsi="Arial"/>
          <w:b/>
          <w:bCs/>
          <w:sz w:val="24"/>
          <w:rtl/>
        </w:rPr>
        <w:t xml:space="preserve"> </w:t>
      </w:r>
      <w:r w:rsidRPr="00444FB2">
        <w:rPr>
          <w:rFonts w:ascii="Arial" w:eastAsia="Calibri" w:hAnsi="Arial" w:hint="eastAsia"/>
          <w:b/>
          <w:bCs/>
          <w:sz w:val="24"/>
          <w:rtl/>
        </w:rPr>
        <w:t>ידי</w:t>
      </w:r>
      <w:r w:rsidRPr="00444FB2">
        <w:rPr>
          <w:rFonts w:ascii="Arial" w:eastAsia="Calibri" w:hAnsi="Arial"/>
          <w:b/>
          <w:bCs/>
          <w:sz w:val="24"/>
          <w:rtl/>
        </w:rPr>
        <w:t xml:space="preserve"> </w:t>
      </w:r>
      <w:r w:rsidRPr="00444FB2">
        <w:rPr>
          <w:rFonts w:ascii="Arial" w:eastAsia="Calibri" w:hAnsi="Arial" w:hint="eastAsia"/>
          <w:b/>
          <w:bCs/>
          <w:sz w:val="24"/>
          <w:rtl/>
        </w:rPr>
        <w:t>יצירת</w:t>
      </w:r>
      <w:r w:rsidRPr="00444FB2">
        <w:rPr>
          <w:rFonts w:ascii="Arial" w:eastAsia="Calibri" w:hAnsi="Arial"/>
          <w:b/>
          <w:bCs/>
          <w:sz w:val="24"/>
          <w:rtl/>
        </w:rPr>
        <w:t xml:space="preserve"> </w:t>
      </w:r>
      <w:r w:rsidRPr="00444FB2">
        <w:rPr>
          <w:rFonts w:ascii="Arial" w:eastAsia="Calibri" w:hAnsi="Arial" w:hint="eastAsia"/>
          <w:b/>
          <w:bCs/>
          <w:sz w:val="24"/>
          <w:rtl/>
        </w:rPr>
        <w:t>מקור</w:t>
      </w:r>
      <w:r w:rsidRPr="00444FB2">
        <w:rPr>
          <w:rFonts w:ascii="Arial" w:eastAsia="Calibri" w:hAnsi="Arial"/>
          <w:b/>
          <w:bCs/>
          <w:sz w:val="24"/>
          <w:rtl/>
        </w:rPr>
        <w:t xml:space="preserve"> </w:t>
      </w:r>
      <w:r w:rsidRPr="00444FB2">
        <w:rPr>
          <w:rFonts w:ascii="Arial" w:eastAsia="Calibri" w:hAnsi="Arial" w:hint="eastAsia"/>
          <w:b/>
          <w:bCs/>
          <w:sz w:val="24"/>
          <w:rtl/>
        </w:rPr>
        <w:t>מתחרה</w:t>
      </w:r>
      <w:r w:rsidRPr="00444FB2">
        <w:rPr>
          <w:rFonts w:ascii="Arial" w:eastAsia="Calibri" w:hAnsi="Arial"/>
          <w:b/>
          <w:bCs/>
          <w:sz w:val="24"/>
          <w:rtl/>
        </w:rPr>
        <w:t xml:space="preserve">, </w:t>
      </w:r>
      <w:r w:rsidRPr="00444FB2">
        <w:rPr>
          <w:rFonts w:ascii="Arial" w:eastAsia="Calibri" w:hAnsi="Arial" w:hint="eastAsia"/>
          <w:b/>
          <w:bCs/>
          <w:sz w:val="24"/>
          <w:rtl/>
        </w:rPr>
        <w:t>משמעותה</w:t>
      </w:r>
      <w:r w:rsidRPr="00444FB2">
        <w:rPr>
          <w:rFonts w:ascii="Arial" w:eastAsia="Calibri" w:hAnsi="Arial"/>
          <w:b/>
          <w:bCs/>
          <w:sz w:val="24"/>
          <w:rtl/>
        </w:rPr>
        <w:t xml:space="preserve">, </w:t>
      </w:r>
      <w:r w:rsidRPr="00444FB2">
        <w:rPr>
          <w:rFonts w:ascii="Arial" w:eastAsia="Calibri" w:hAnsi="Arial" w:hint="eastAsia"/>
          <w:b/>
          <w:bCs/>
          <w:sz w:val="24"/>
          <w:rtl/>
        </w:rPr>
        <w:t>הלכה</w:t>
      </w:r>
      <w:r w:rsidRPr="00444FB2">
        <w:rPr>
          <w:rFonts w:ascii="Arial" w:eastAsia="Calibri" w:hAnsi="Arial"/>
          <w:b/>
          <w:bCs/>
          <w:sz w:val="24"/>
          <w:rtl/>
        </w:rPr>
        <w:t xml:space="preserve"> </w:t>
      </w:r>
      <w:r w:rsidRPr="00444FB2">
        <w:rPr>
          <w:rFonts w:ascii="Arial" w:eastAsia="Calibri" w:hAnsi="Arial" w:hint="eastAsia"/>
          <w:b/>
          <w:bCs/>
          <w:sz w:val="24"/>
          <w:rtl/>
        </w:rPr>
        <w:t>למעשה</w:t>
      </w:r>
      <w:r w:rsidRPr="00444FB2">
        <w:rPr>
          <w:rFonts w:ascii="Arial" w:eastAsia="Calibri" w:hAnsi="Arial"/>
          <w:b/>
          <w:bCs/>
          <w:sz w:val="24"/>
          <w:rtl/>
        </w:rPr>
        <w:t xml:space="preserve">, </w:t>
      </w:r>
      <w:r w:rsidRPr="00444FB2">
        <w:rPr>
          <w:rFonts w:ascii="Arial" w:eastAsia="Calibri" w:hAnsi="Arial" w:hint="eastAsia"/>
          <w:b/>
          <w:bCs/>
          <w:sz w:val="24"/>
          <w:rtl/>
        </w:rPr>
        <w:t>אובדן</w:t>
      </w:r>
      <w:r w:rsidRPr="00444FB2">
        <w:rPr>
          <w:rFonts w:ascii="Arial" w:eastAsia="Calibri" w:hAnsi="Arial"/>
          <w:b/>
          <w:bCs/>
          <w:sz w:val="24"/>
          <w:rtl/>
        </w:rPr>
        <w:t xml:space="preserve"> </w:t>
      </w:r>
      <w:r w:rsidRPr="00444FB2">
        <w:rPr>
          <w:rFonts w:ascii="Arial" w:eastAsia="Calibri" w:hAnsi="Arial" w:hint="eastAsia"/>
          <w:b/>
          <w:bCs/>
          <w:sz w:val="24"/>
          <w:rtl/>
        </w:rPr>
        <w:t>של</w:t>
      </w:r>
      <w:r w:rsidRPr="00444FB2">
        <w:rPr>
          <w:rFonts w:ascii="Arial" w:eastAsia="Calibri" w:hAnsi="Arial"/>
          <w:b/>
          <w:bCs/>
          <w:sz w:val="24"/>
          <w:rtl/>
        </w:rPr>
        <w:t xml:space="preserve"> </w:t>
      </w:r>
      <w:r w:rsidRPr="00444FB2">
        <w:rPr>
          <w:rFonts w:ascii="Arial" w:eastAsia="Calibri" w:hAnsi="Arial" w:hint="eastAsia"/>
          <w:b/>
          <w:bCs/>
          <w:sz w:val="24"/>
          <w:rtl/>
        </w:rPr>
        <w:t>מקור</w:t>
      </w:r>
      <w:r w:rsidRPr="00444FB2">
        <w:rPr>
          <w:rFonts w:ascii="Arial" w:eastAsia="Calibri" w:hAnsi="Arial"/>
          <w:b/>
          <w:bCs/>
          <w:sz w:val="24"/>
          <w:rtl/>
        </w:rPr>
        <w:t xml:space="preserve"> </w:t>
      </w:r>
      <w:r w:rsidRPr="00444FB2">
        <w:rPr>
          <w:rFonts w:ascii="Arial" w:eastAsia="Calibri" w:hAnsi="Arial" w:hint="eastAsia"/>
          <w:b/>
          <w:bCs/>
          <w:sz w:val="24"/>
          <w:rtl/>
        </w:rPr>
        <w:t>הפרנסה</w:t>
      </w:r>
      <w:r w:rsidRPr="00444FB2">
        <w:rPr>
          <w:rFonts w:ascii="Arial" w:eastAsia="Calibri" w:hAnsi="Arial"/>
          <w:b/>
          <w:bCs/>
          <w:sz w:val="24"/>
          <w:rtl/>
        </w:rPr>
        <w:t xml:space="preserve"> </w:t>
      </w:r>
      <w:r w:rsidRPr="00444FB2">
        <w:rPr>
          <w:rFonts w:ascii="Arial" w:eastAsia="Calibri" w:hAnsi="Arial" w:hint="eastAsia"/>
          <w:b/>
          <w:bCs/>
          <w:sz w:val="24"/>
          <w:rtl/>
        </w:rPr>
        <w:t>או</w:t>
      </w:r>
      <w:r w:rsidRPr="00444FB2">
        <w:rPr>
          <w:rFonts w:ascii="Arial" w:eastAsia="Calibri" w:hAnsi="Arial"/>
          <w:b/>
          <w:bCs/>
          <w:sz w:val="24"/>
          <w:rtl/>
        </w:rPr>
        <w:t xml:space="preserve"> </w:t>
      </w:r>
      <w:r w:rsidRPr="00444FB2">
        <w:rPr>
          <w:rFonts w:ascii="Arial" w:eastAsia="Calibri" w:hAnsi="Arial" w:hint="eastAsia"/>
          <w:b/>
          <w:bCs/>
          <w:sz w:val="24"/>
          <w:rtl/>
        </w:rPr>
        <w:t>של</w:t>
      </w:r>
      <w:r w:rsidRPr="00444FB2">
        <w:rPr>
          <w:rFonts w:ascii="Arial" w:eastAsia="Calibri" w:hAnsi="Arial"/>
          <w:b/>
          <w:bCs/>
          <w:sz w:val="24"/>
          <w:rtl/>
        </w:rPr>
        <w:t xml:space="preserve"> </w:t>
      </w:r>
      <w:r w:rsidRPr="00444FB2">
        <w:rPr>
          <w:rFonts w:ascii="Arial" w:eastAsia="Calibri" w:hAnsi="Arial" w:hint="eastAsia"/>
          <w:b/>
          <w:bCs/>
          <w:sz w:val="24"/>
          <w:rtl/>
        </w:rPr>
        <w:t>היכולת</w:t>
      </w:r>
      <w:r w:rsidRPr="00444FB2">
        <w:rPr>
          <w:rFonts w:ascii="Arial" w:eastAsia="Calibri" w:hAnsi="Arial"/>
          <w:b/>
          <w:bCs/>
          <w:sz w:val="24"/>
          <w:rtl/>
        </w:rPr>
        <w:t xml:space="preserve"> </w:t>
      </w:r>
      <w:r w:rsidRPr="00444FB2">
        <w:rPr>
          <w:rFonts w:ascii="Arial" w:eastAsia="Calibri" w:hAnsi="Arial" w:hint="eastAsia"/>
          <w:b/>
          <w:bCs/>
          <w:sz w:val="24"/>
          <w:rtl/>
        </w:rPr>
        <w:t>ליצור</w:t>
      </w:r>
      <w:r w:rsidRPr="00444FB2">
        <w:rPr>
          <w:rFonts w:ascii="Arial" w:eastAsia="Calibri" w:hAnsi="Arial"/>
          <w:b/>
          <w:bCs/>
          <w:sz w:val="24"/>
          <w:rtl/>
        </w:rPr>
        <w:t xml:space="preserve"> </w:t>
      </w:r>
      <w:r w:rsidRPr="00444FB2">
        <w:rPr>
          <w:rFonts w:ascii="Arial" w:eastAsia="Calibri" w:hAnsi="Arial" w:hint="eastAsia"/>
          <w:b/>
          <w:bCs/>
          <w:sz w:val="24"/>
          <w:rtl/>
        </w:rPr>
        <w:t>מקור</w:t>
      </w:r>
      <w:r w:rsidRPr="00444FB2">
        <w:rPr>
          <w:rFonts w:ascii="Arial" w:eastAsia="Calibri" w:hAnsi="Arial"/>
          <w:b/>
          <w:bCs/>
          <w:sz w:val="24"/>
          <w:rtl/>
        </w:rPr>
        <w:t xml:space="preserve"> </w:t>
      </w:r>
      <w:r w:rsidRPr="00444FB2">
        <w:rPr>
          <w:rFonts w:ascii="Arial" w:eastAsia="Calibri" w:hAnsi="Arial" w:hint="eastAsia"/>
          <w:b/>
          <w:bCs/>
          <w:sz w:val="24"/>
          <w:rtl/>
        </w:rPr>
        <w:t>פרנסה</w:t>
      </w:r>
      <w:r w:rsidRPr="00444FB2">
        <w:rPr>
          <w:rFonts w:ascii="Arial" w:eastAsia="Calibri" w:hAnsi="Arial" w:hint="cs"/>
          <w:b/>
          <w:bCs/>
          <w:sz w:val="24"/>
          <w:rtl/>
        </w:rPr>
        <w:t>.</w:t>
      </w:r>
      <w:r w:rsidRPr="00444FB2">
        <w:rPr>
          <w:rFonts w:ascii="Arial" w:eastAsia="Calibri" w:hAnsi="Arial"/>
          <w:b/>
          <w:bCs/>
          <w:sz w:val="24"/>
          <w:rtl/>
        </w:rPr>
        <w:t xml:space="preserve"> </w:t>
      </w:r>
      <w:r w:rsidRPr="00444FB2">
        <w:rPr>
          <w:rFonts w:ascii="Arial" w:eastAsia="Calibri" w:hAnsi="Arial" w:hint="cs"/>
          <w:b/>
          <w:bCs/>
          <w:sz w:val="24"/>
          <w:rtl/>
        </w:rPr>
        <w:t>נקבע כי הזכות להתחרות, עליה מוותר העובד, הינה זכות השקולה במקרים רבים לנכס הון.</w:t>
      </w:r>
      <w:r w:rsidRPr="00444FB2">
        <w:rPr>
          <w:rFonts w:ascii="Arial" w:eastAsia="Calibri" w:hAnsi="Arial"/>
          <w:b/>
          <w:bCs/>
          <w:sz w:val="24"/>
          <w:rtl/>
        </w:rPr>
        <w:t xml:space="preserve"> </w:t>
      </w:r>
      <w:r w:rsidRPr="00444FB2">
        <w:rPr>
          <w:rFonts w:ascii="Arial" w:eastAsia="Calibri" w:hAnsi="Arial" w:hint="cs"/>
          <w:b/>
          <w:bCs/>
          <w:sz w:val="24"/>
          <w:rtl/>
        </w:rPr>
        <w:t xml:space="preserve">נקבע כי בנסיבות המקרה הקונקרטיות מדובר בתשלום בגין אי תחרות משום שהחברה שילמה לעובד תמורה </w:t>
      </w:r>
      <w:r w:rsidRPr="00444FB2">
        <w:rPr>
          <w:rFonts w:ascii="Arial" w:eastAsia="Calibri" w:hAnsi="Arial" w:hint="eastAsia"/>
          <w:b/>
          <w:bCs/>
          <w:sz w:val="24"/>
          <w:rtl/>
        </w:rPr>
        <w:t>עבור</w:t>
      </w:r>
      <w:r w:rsidRPr="00444FB2">
        <w:rPr>
          <w:rFonts w:ascii="Arial" w:eastAsia="Calibri" w:hAnsi="Arial"/>
          <w:b/>
          <w:bCs/>
          <w:sz w:val="24"/>
          <w:rtl/>
        </w:rPr>
        <w:t xml:space="preserve"> </w:t>
      </w:r>
      <w:r w:rsidRPr="00444FB2">
        <w:rPr>
          <w:rFonts w:ascii="Arial" w:eastAsia="Calibri" w:hAnsi="Arial" w:hint="eastAsia"/>
          <w:b/>
          <w:bCs/>
          <w:sz w:val="24"/>
          <w:rtl/>
        </w:rPr>
        <w:t>התחייבותו</w:t>
      </w:r>
      <w:r w:rsidRPr="00444FB2">
        <w:rPr>
          <w:rFonts w:ascii="Arial" w:eastAsia="Calibri" w:hAnsi="Arial"/>
          <w:b/>
          <w:bCs/>
          <w:sz w:val="24"/>
          <w:rtl/>
        </w:rPr>
        <w:t xml:space="preserve"> </w:t>
      </w:r>
      <w:r w:rsidRPr="00444FB2">
        <w:rPr>
          <w:rFonts w:ascii="Arial" w:eastAsia="Calibri" w:hAnsi="Arial" w:hint="eastAsia"/>
          <w:b/>
          <w:bCs/>
          <w:sz w:val="24"/>
          <w:rtl/>
        </w:rPr>
        <w:t>שלא</w:t>
      </w:r>
      <w:r w:rsidRPr="00444FB2">
        <w:rPr>
          <w:rFonts w:ascii="Arial" w:eastAsia="Calibri" w:hAnsi="Arial"/>
          <w:b/>
          <w:bCs/>
          <w:sz w:val="24"/>
          <w:rtl/>
        </w:rPr>
        <w:t xml:space="preserve"> </w:t>
      </w:r>
      <w:r w:rsidRPr="00444FB2">
        <w:rPr>
          <w:rFonts w:ascii="Arial" w:eastAsia="Calibri" w:hAnsi="Arial" w:hint="eastAsia"/>
          <w:b/>
          <w:bCs/>
          <w:sz w:val="24"/>
          <w:rtl/>
        </w:rPr>
        <w:t>להתחרות</w:t>
      </w:r>
      <w:r w:rsidRPr="00444FB2">
        <w:rPr>
          <w:rFonts w:ascii="Arial" w:eastAsia="Calibri" w:hAnsi="Arial"/>
          <w:b/>
          <w:bCs/>
          <w:sz w:val="24"/>
          <w:rtl/>
        </w:rPr>
        <w:t xml:space="preserve"> </w:t>
      </w:r>
      <w:r w:rsidRPr="00444FB2">
        <w:rPr>
          <w:rFonts w:ascii="Arial" w:eastAsia="Calibri" w:hAnsi="Arial" w:hint="eastAsia"/>
          <w:b/>
          <w:bCs/>
          <w:sz w:val="24"/>
          <w:rtl/>
        </w:rPr>
        <w:t>ב</w:t>
      </w:r>
      <w:r w:rsidRPr="00444FB2">
        <w:rPr>
          <w:rFonts w:ascii="Arial" w:eastAsia="Calibri" w:hAnsi="Arial" w:hint="cs"/>
          <w:b/>
          <w:bCs/>
          <w:sz w:val="24"/>
          <w:rtl/>
        </w:rPr>
        <w:t>ה מאחר</w:t>
      </w:r>
      <w:r w:rsidRPr="00444FB2">
        <w:rPr>
          <w:rFonts w:ascii="Arial" w:eastAsia="Calibri" w:hAnsi="Arial"/>
          <w:b/>
          <w:bCs/>
          <w:sz w:val="24"/>
          <w:rtl/>
        </w:rPr>
        <w:t xml:space="preserve"> </w:t>
      </w:r>
      <w:r w:rsidRPr="00444FB2">
        <w:rPr>
          <w:rFonts w:ascii="Arial" w:eastAsia="Calibri" w:hAnsi="Arial" w:hint="cs"/>
          <w:b/>
          <w:bCs/>
          <w:sz w:val="24"/>
          <w:rtl/>
        </w:rPr>
        <w:t>ש</w:t>
      </w:r>
      <w:r w:rsidRPr="00444FB2">
        <w:rPr>
          <w:rFonts w:ascii="Arial" w:eastAsia="Calibri" w:hAnsi="Arial" w:hint="eastAsia"/>
          <w:b/>
          <w:bCs/>
          <w:sz w:val="24"/>
          <w:rtl/>
        </w:rPr>
        <w:t>החברה</w:t>
      </w:r>
      <w:r w:rsidRPr="00444FB2">
        <w:rPr>
          <w:rFonts w:ascii="Arial" w:eastAsia="Calibri" w:hAnsi="Arial"/>
          <w:b/>
          <w:bCs/>
          <w:sz w:val="24"/>
          <w:rtl/>
        </w:rPr>
        <w:t xml:space="preserve"> </w:t>
      </w:r>
      <w:r w:rsidRPr="00444FB2">
        <w:rPr>
          <w:rFonts w:ascii="Arial" w:eastAsia="Calibri" w:hAnsi="Arial" w:hint="eastAsia"/>
          <w:b/>
          <w:bCs/>
          <w:sz w:val="24"/>
          <w:rtl/>
        </w:rPr>
        <w:t>חששה</w:t>
      </w:r>
      <w:r w:rsidRPr="00444FB2">
        <w:rPr>
          <w:rFonts w:ascii="Arial" w:eastAsia="Calibri" w:hAnsi="Arial"/>
          <w:b/>
          <w:bCs/>
          <w:sz w:val="24"/>
          <w:rtl/>
        </w:rPr>
        <w:t xml:space="preserve"> </w:t>
      </w:r>
      <w:r w:rsidRPr="00444FB2">
        <w:rPr>
          <w:rFonts w:ascii="Arial" w:eastAsia="Calibri" w:hAnsi="Arial" w:hint="cs"/>
          <w:b/>
          <w:bCs/>
          <w:sz w:val="24"/>
          <w:rtl/>
        </w:rPr>
        <w:t xml:space="preserve">כי </w:t>
      </w:r>
      <w:r w:rsidRPr="00444FB2">
        <w:rPr>
          <w:rFonts w:ascii="Arial" w:eastAsia="Calibri" w:hAnsi="Arial" w:hint="eastAsia"/>
          <w:b/>
          <w:bCs/>
          <w:sz w:val="24"/>
          <w:rtl/>
        </w:rPr>
        <w:t>לאור</w:t>
      </w:r>
      <w:r w:rsidRPr="00444FB2">
        <w:rPr>
          <w:rFonts w:ascii="Arial" w:eastAsia="Calibri" w:hAnsi="Arial"/>
          <w:b/>
          <w:bCs/>
          <w:sz w:val="24"/>
          <w:rtl/>
        </w:rPr>
        <w:t xml:space="preserve"> </w:t>
      </w:r>
      <w:r w:rsidRPr="00444FB2">
        <w:rPr>
          <w:rFonts w:ascii="Arial" w:eastAsia="Calibri" w:hAnsi="Arial" w:hint="eastAsia"/>
          <w:b/>
          <w:bCs/>
          <w:sz w:val="24"/>
          <w:rtl/>
        </w:rPr>
        <w:t>יתרונו</w:t>
      </w:r>
      <w:r w:rsidRPr="00444FB2">
        <w:rPr>
          <w:rFonts w:ascii="Arial" w:eastAsia="Calibri" w:hAnsi="Arial"/>
          <w:b/>
          <w:bCs/>
          <w:sz w:val="24"/>
          <w:rtl/>
        </w:rPr>
        <w:t xml:space="preserve"> </w:t>
      </w:r>
      <w:r w:rsidRPr="00444FB2">
        <w:rPr>
          <w:rFonts w:ascii="Arial" w:eastAsia="Calibri" w:hAnsi="Arial" w:hint="eastAsia"/>
          <w:b/>
          <w:bCs/>
          <w:sz w:val="24"/>
          <w:rtl/>
        </w:rPr>
        <w:t>היחסי</w:t>
      </w:r>
      <w:r w:rsidRPr="00444FB2">
        <w:rPr>
          <w:rFonts w:ascii="Arial" w:eastAsia="Calibri" w:hAnsi="Arial"/>
          <w:b/>
          <w:bCs/>
          <w:sz w:val="24"/>
          <w:rtl/>
        </w:rPr>
        <w:t xml:space="preserve"> </w:t>
      </w:r>
      <w:r w:rsidRPr="00444FB2">
        <w:rPr>
          <w:rFonts w:ascii="Arial" w:eastAsia="Calibri" w:hAnsi="Arial" w:hint="cs"/>
          <w:b/>
          <w:bCs/>
          <w:sz w:val="24"/>
          <w:rtl/>
        </w:rPr>
        <w:t>של העובד</w:t>
      </w:r>
      <w:r w:rsidRPr="00444FB2">
        <w:rPr>
          <w:rFonts w:ascii="Arial" w:eastAsia="Calibri" w:hAnsi="Arial"/>
          <w:b/>
          <w:bCs/>
          <w:sz w:val="24"/>
          <w:rtl/>
        </w:rPr>
        <w:t xml:space="preserve"> </w:t>
      </w:r>
      <w:r w:rsidRPr="00444FB2">
        <w:rPr>
          <w:rFonts w:ascii="Arial" w:eastAsia="Calibri" w:hAnsi="Arial" w:hint="eastAsia"/>
          <w:b/>
          <w:bCs/>
          <w:sz w:val="24"/>
          <w:rtl/>
        </w:rPr>
        <w:t>בהשוואה</w:t>
      </w:r>
      <w:r w:rsidRPr="00444FB2">
        <w:rPr>
          <w:rFonts w:ascii="Arial" w:eastAsia="Calibri" w:hAnsi="Arial"/>
          <w:b/>
          <w:bCs/>
          <w:sz w:val="24"/>
          <w:rtl/>
        </w:rPr>
        <w:t xml:space="preserve"> </w:t>
      </w:r>
      <w:r w:rsidRPr="00444FB2">
        <w:rPr>
          <w:rFonts w:ascii="Arial" w:eastAsia="Calibri" w:hAnsi="Arial" w:hint="eastAsia"/>
          <w:b/>
          <w:bCs/>
          <w:sz w:val="24"/>
          <w:rtl/>
        </w:rPr>
        <w:t>לכל</w:t>
      </w:r>
      <w:r w:rsidRPr="00444FB2">
        <w:rPr>
          <w:rFonts w:ascii="Arial" w:eastAsia="Calibri" w:hAnsi="Arial"/>
          <w:b/>
          <w:bCs/>
          <w:sz w:val="24"/>
          <w:rtl/>
        </w:rPr>
        <w:t xml:space="preserve"> </w:t>
      </w:r>
      <w:r w:rsidRPr="00444FB2">
        <w:rPr>
          <w:rFonts w:ascii="Arial" w:eastAsia="Calibri" w:hAnsi="Arial" w:hint="eastAsia"/>
          <w:b/>
          <w:bCs/>
          <w:sz w:val="24"/>
          <w:rtl/>
        </w:rPr>
        <w:t>גורם</w:t>
      </w:r>
      <w:r w:rsidRPr="00444FB2">
        <w:rPr>
          <w:rFonts w:ascii="Arial" w:eastAsia="Calibri" w:hAnsi="Arial"/>
          <w:b/>
          <w:bCs/>
          <w:sz w:val="24"/>
          <w:rtl/>
        </w:rPr>
        <w:t xml:space="preserve"> </w:t>
      </w:r>
      <w:r w:rsidRPr="00444FB2">
        <w:rPr>
          <w:rFonts w:ascii="Arial" w:eastAsia="Calibri" w:hAnsi="Arial" w:hint="eastAsia"/>
          <w:b/>
          <w:bCs/>
          <w:sz w:val="24"/>
          <w:rtl/>
        </w:rPr>
        <w:t>אחר</w:t>
      </w:r>
      <w:r w:rsidRPr="00444FB2">
        <w:rPr>
          <w:rFonts w:ascii="Arial" w:eastAsia="Calibri" w:hAnsi="Arial"/>
          <w:b/>
          <w:bCs/>
          <w:sz w:val="24"/>
          <w:rtl/>
        </w:rPr>
        <w:t xml:space="preserve"> </w:t>
      </w:r>
      <w:r w:rsidRPr="00444FB2">
        <w:rPr>
          <w:rFonts w:ascii="Arial" w:eastAsia="Calibri" w:hAnsi="Arial" w:hint="eastAsia"/>
          <w:b/>
          <w:bCs/>
          <w:sz w:val="24"/>
          <w:rtl/>
        </w:rPr>
        <w:t>בשוק</w:t>
      </w:r>
      <w:r w:rsidRPr="00444FB2">
        <w:rPr>
          <w:rFonts w:ascii="Arial" w:eastAsia="Calibri" w:hAnsi="Arial"/>
          <w:b/>
          <w:bCs/>
          <w:sz w:val="24"/>
          <w:rtl/>
        </w:rPr>
        <w:t xml:space="preserve">, </w:t>
      </w:r>
      <w:r w:rsidRPr="00444FB2">
        <w:rPr>
          <w:rFonts w:ascii="Arial" w:eastAsia="Calibri" w:hAnsi="Arial" w:hint="eastAsia"/>
          <w:b/>
          <w:bCs/>
          <w:sz w:val="24"/>
          <w:rtl/>
        </w:rPr>
        <w:t>ביצירת</w:t>
      </w:r>
      <w:r w:rsidRPr="00444FB2">
        <w:rPr>
          <w:rFonts w:ascii="Arial" w:eastAsia="Calibri" w:hAnsi="Arial"/>
          <w:b/>
          <w:bCs/>
          <w:sz w:val="24"/>
          <w:rtl/>
        </w:rPr>
        <w:t xml:space="preserve"> </w:t>
      </w:r>
      <w:r w:rsidRPr="00444FB2">
        <w:rPr>
          <w:rFonts w:ascii="Arial" w:eastAsia="Calibri" w:hAnsi="Arial" w:hint="eastAsia"/>
          <w:b/>
          <w:bCs/>
          <w:sz w:val="24"/>
          <w:rtl/>
        </w:rPr>
        <w:t>תחרות</w:t>
      </w:r>
      <w:r w:rsidRPr="00444FB2">
        <w:rPr>
          <w:rFonts w:ascii="Arial" w:eastAsia="Calibri" w:hAnsi="Arial"/>
          <w:b/>
          <w:bCs/>
          <w:sz w:val="24"/>
          <w:rtl/>
        </w:rPr>
        <w:t xml:space="preserve"> </w:t>
      </w:r>
      <w:r w:rsidRPr="00444FB2">
        <w:rPr>
          <w:rFonts w:ascii="Arial" w:eastAsia="Calibri" w:hAnsi="Arial" w:hint="eastAsia"/>
          <w:b/>
          <w:bCs/>
          <w:sz w:val="24"/>
          <w:rtl/>
        </w:rPr>
        <w:t>עסקית</w:t>
      </w:r>
      <w:r w:rsidRPr="00444FB2">
        <w:rPr>
          <w:rFonts w:ascii="Arial" w:eastAsia="Calibri" w:hAnsi="Arial"/>
          <w:b/>
          <w:bCs/>
          <w:sz w:val="24"/>
          <w:rtl/>
        </w:rPr>
        <w:t xml:space="preserve"> </w:t>
      </w:r>
      <w:r w:rsidRPr="00444FB2">
        <w:rPr>
          <w:rFonts w:ascii="Arial" w:eastAsia="Calibri" w:hAnsi="Arial" w:hint="eastAsia"/>
          <w:b/>
          <w:bCs/>
          <w:sz w:val="24"/>
          <w:rtl/>
        </w:rPr>
        <w:t>אפקטיבית</w:t>
      </w:r>
      <w:r w:rsidRPr="00444FB2">
        <w:rPr>
          <w:rFonts w:ascii="Arial" w:eastAsia="Calibri" w:hAnsi="Arial"/>
          <w:b/>
          <w:bCs/>
          <w:sz w:val="24"/>
          <w:rtl/>
        </w:rPr>
        <w:t xml:space="preserve"> </w:t>
      </w:r>
      <w:r w:rsidRPr="00444FB2">
        <w:rPr>
          <w:rFonts w:ascii="Arial" w:eastAsia="Calibri" w:hAnsi="Arial" w:hint="eastAsia"/>
          <w:b/>
          <w:bCs/>
          <w:sz w:val="24"/>
          <w:rtl/>
        </w:rPr>
        <w:t>ל</w:t>
      </w:r>
      <w:r w:rsidRPr="00444FB2">
        <w:rPr>
          <w:rFonts w:ascii="Arial" w:eastAsia="Calibri" w:hAnsi="Arial" w:hint="cs"/>
          <w:b/>
          <w:bCs/>
          <w:sz w:val="24"/>
          <w:rtl/>
        </w:rPr>
        <w:t>חברה,</w:t>
      </w:r>
      <w:r w:rsidRPr="00444FB2">
        <w:rPr>
          <w:rFonts w:ascii="Arial" w:eastAsia="Calibri" w:hAnsi="Arial"/>
          <w:b/>
          <w:bCs/>
          <w:sz w:val="24"/>
          <w:rtl/>
        </w:rPr>
        <w:t xml:space="preserve"> </w:t>
      </w:r>
      <w:r w:rsidRPr="00444FB2">
        <w:rPr>
          <w:rFonts w:ascii="Arial" w:eastAsia="Calibri" w:hAnsi="Arial" w:hint="cs"/>
          <w:b/>
          <w:bCs/>
          <w:sz w:val="24"/>
          <w:rtl/>
        </w:rPr>
        <w:t>העובד</w:t>
      </w:r>
      <w:r w:rsidRPr="00444FB2">
        <w:rPr>
          <w:rFonts w:ascii="Arial" w:eastAsia="Calibri" w:hAnsi="Arial"/>
          <w:b/>
          <w:bCs/>
          <w:sz w:val="24"/>
          <w:rtl/>
        </w:rPr>
        <w:t xml:space="preserve"> </w:t>
      </w:r>
      <w:r w:rsidRPr="00444FB2">
        <w:rPr>
          <w:rFonts w:ascii="Arial" w:eastAsia="Calibri" w:hAnsi="Arial" w:hint="eastAsia"/>
          <w:b/>
          <w:bCs/>
          <w:sz w:val="24"/>
          <w:rtl/>
        </w:rPr>
        <w:t>יוכל</w:t>
      </w:r>
      <w:r w:rsidRPr="00444FB2">
        <w:rPr>
          <w:rFonts w:ascii="Arial" w:eastAsia="Calibri" w:hAnsi="Arial"/>
          <w:b/>
          <w:bCs/>
          <w:sz w:val="24"/>
          <w:rtl/>
        </w:rPr>
        <w:t xml:space="preserve"> </w:t>
      </w:r>
      <w:r w:rsidRPr="00444FB2">
        <w:rPr>
          <w:rFonts w:ascii="Arial" w:eastAsia="Calibri" w:hAnsi="Arial" w:hint="eastAsia"/>
          <w:b/>
          <w:bCs/>
          <w:sz w:val="24"/>
          <w:rtl/>
        </w:rPr>
        <w:t>להתחרות</w:t>
      </w:r>
      <w:r w:rsidRPr="00444FB2">
        <w:rPr>
          <w:rFonts w:ascii="Arial" w:eastAsia="Calibri" w:hAnsi="Arial"/>
          <w:b/>
          <w:bCs/>
          <w:sz w:val="24"/>
          <w:rtl/>
        </w:rPr>
        <w:t xml:space="preserve"> </w:t>
      </w:r>
      <w:r w:rsidRPr="00444FB2">
        <w:rPr>
          <w:rFonts w:ascii="Arial" w:eastAsia="Calibri" w:hAnsi="Arial" w:hint="eastAsia"/>
          <w:b/>
          <w:bCs/>
          <w:sz w:val="24"/>
          <w:rtl/>
        </w:rPr>
        <w:t>עימה</w:t>
      </w:r>
      <w:r w:rsidRPr="00444FB2">
        <w:rPr>
          <w:rFonts w:ascii="Arial" w:eastAsia="Calibri" w:hAnsi="Arial" w:hint="cs"/>
          <w:b/>
          <w:bCs/>
          <w:sz w:val="24"/>
          <w:rtl/>
        </w:rPr>
        <w:t>.</w:t>
      </w:r>
      <w:r w:rsidRPr="00444FB2">
        <w:rPr>
          <w:rFonts w:ascii="Arial" w:eastAsia="Calibri" w:hAnsi="Arial"/>
          <w:b/>
          <w:bCs/>
          <w:sz w:val="24"/>
          <w:rtl/>
        </w:rPr>
        <w:t xml:space="preserve"> </w:t>
      </w:r>
      <w:r w:rsidRPr="00444FB2">
        <w:rPr>
          <w:rFonts w:ascii="Arial" w:eastAsia="Calibri" w:hAnsi="Arial" w:hint="eastAsia"/>
          <w:b/>
          <w:bCs/>
          <w:sz w:val="24"/>
          <w:rtl/>
        </w:rPr>
        <w:t>ועל</w:t>
      </w:r>
      <w:r w:rsidRPr="00444FB2">
        <w:rPr>
          <w:rFonts w:ascii="Arial" w:eastAsia="Calibri" w:hAnsi="Arial"/>
          <w:b/>
          <w:bCs/>
          <w:sz w:val="24"/>
          <w:rtl/>
        </w:rPr>
        <w:t xml:space="preserve"> </w:t>
      </w:r>
      <w:r w:rsidRPr="00444FB2">
        <w:rPr>
          <w:rFonts w:ascii="Arial" w:eastAsia="Calibri" w:hAnsi="Arial" w:hint="eastAsia"/>
          <w:b/>
          <w:bCs/>
          <w:sz w:val="24"/>
          <w:rtl/>
        </w:rPr>
        <w:t>כן</w:t>
      </w:r>
      <w:r w:rsidRPr="00444FB2">
        <w:rPr>
          <w:rFonts w:ascii="Arial" w:eastAsia="Calibri" w:hAnsi="Arial" w:hint="cs"/>
          <w:b/>
          <w:bCs/>
          <w:sz w:val="24"/>
          <w:rtl/>
        </w:rPr>
        <w:t>, החברה</w:t>
      </w:r>
      <w:r w:rsidRPr="00444FB2">
        <w:rPr>
          <w:rFonts w:ascii="Arial" w:eastAsia="Calibri" w:hAnsi="Arial"/>
          <w:b/>
          <w:bCs/>
          <w:sz w:val="24"/>
          <w:rtl/>
        </w:rPr>
        <w:t xml:space="preserve"> </w:t>
      </w:r>
      <w:r w:rsidRPr="00444FB2">
        <w:rPr>
          <w:rFonts w:ascii="Arial" w:eastAsia="Calibri" w:hAnsi="Arial" w:hint="eastAsia"/>
          <w:b/>
          <w:bCs/>
          <w:sz w:val="24"/>
          <w:rtl/>
        </w:rPr>
        <w:t>עשתה</w:t>
      </w:r>
      <w:r w:rsidRPr="00444FB2">
        <w:rPr>
          <w:rFonts w:ascii="Arial" w:eastAsia="Calibri" w:hAnsi="Arial"/>
          <w:b/>
          <w:bCs/>
          <w:sz w:val="24"/>
          <w:rtl/>
        </w:rPr>
        <w:t xml:space="preserve"> </w:t>
      </w:r>
      <w:r w:rsidRPr="00444FB2">
        <w:rPr>
          <w:rFonts w:ascii="Arial" w:eastAsia="Calibri" w:hAnsi="Arial" w:hint="eastAsia"/>
          <w:b/>
          <w:bCs/>
          <w:sz w:val="24"/>
          <w:rtl/>
        </w:rPr>
        <w:t>כל</w:t>
      </w:r>
      <w:r w:rsidRPr="00444FB2">
        <w:rPr>
          <w:rFonts w:ascii="Arial" w:eastAsia="Calibri" w:hAnsi="Arial"/>
          <w:b/>
          <w:bCs/>
          <w:sz w:val="24"/>
          <w:rtl/>
        </w:rPr>
        <w:t xml:space="preserve"> </w:t>
      </w:r>
      <w:r w:rsidRPr="00444FB2">
        <w:rPr>
          <w:rFonts w:ascii="Arial" w:eastAsia="Calibri" w:hAnsi="Arial" w:hint="eastAsia"/>
          <w:b/>
          <w:bCs/>
          <w:sz w:val="24"/>
          <w:rtl/>
        </w:rPr>
        <w:t>שביכולתה</w:t>
      </w:r>
      <w:r w:rsidRPr="00444FB2">
        <w:rPr>
          <w:rFonts w:ascii="Arial" w:eastAsia="Calibri" w:hAnsi="Arial"/>
          <w:b/>
          <w:bCs/>
          <w:sz w:val="24"/>
          <w:rtl/>
        </w:rPr>
        <w:t xml:space="preserve"> </w:t>
      </w:r>
      <w:r w:rsidRPr="00444FB2">
        <w:rPr>
          <w:rFonts w:ascii="Arial" w:eastAsia="Calibri" w:hAnsi="Arial" w:hint="eastAsia"/>
          <w:b/>
          <w:bCs/>
          <w:sz w:val="24"/>
          <w:rtl/>
        </w:rPr>
        <w:t>שלא</w:t>
      </w:r>
      <w:r w:rsidRPr="00444FB2">
        <w:rPr>
          <w:rFonts w:ascii="Arial" w:eastAsia="Calibri" w:hAnsi="Arial"/>
          <w:b/>
          <w:bCs/>
          <w:sz w:val="24"/>
          <w:rtl/>
        </w:rPr>
        <w:t xml:space="preserve"> </w:t>
      </w:r>
      <w:r w:rsidRPr="00444FB2">
        <w:rPr>
          <w:rFonts w:ascii="Arial" w:eastAsia="Calibri" w:hAnsi="Arial" w:hint="eastAsia"/>
          <w:b/>
          <w:bCs/>
          <w:sz w:val="24"/>
          <w:rtl/>
        </w:rPr>
        <w:t>יעשה</w:t>
      </w:r>
      <w:r w:rsidRPr="00444FB2">
        <w:rPr>
          <w:rFonts w:ascii="Arial" w:eastAsia="Calibri" w:hAnsi="Arial"/>
          <w:b/>
          <w:bCs/>
          <w:sz w:val="24"/>
          <w:rtl/>
        </w:rPr>
        <w:t xml:space="preserve"> </w:t>
      </w:r>
      <w:r w:rsidRPr="00444FB2">
        <w:rPr>
          <w:rFonts w:ascii="Arial" w:eastAsia="Calibri" w:hAnsi="Arial" w:hint="eastAsia"/>
          <w:b/>
          <w:bCs/>
          <w:sz w:val="24"/>
          <w:rtl/>
        </w:rPr>
        <w:t>כן</w:t>
      </w:r>
      <w:r w:rsidRPr="00444FB2">
        <w:rPr>
          <w:rFonts w:ascii="Arial" w:eastAsia="Calibri" w:hAnsi="Arial" w:hint="cs"/>
          <w:b/>
          <w:bCs/>
          <w:sz w:val="24"/>
          <w:rtl/>
        </w:rPr>
        <w:t xml:space="preserve"> ושילמה לו תמורה בגין התחייבותו שלא להתחרות עימה למשך חמש שנים מיום עזיבתו</w:t>
      </w:r>
      <w:r w:rsidRPr="00444FB2">
        <w:rPr>
          <w:rFonts w:ascii="Arial" w:eastAsia="Calibri" w:hAnsi="Arial"/>
          <w:b/>
          <w:bCs/>
          <w:sz w:val="24"/>
          <w:rtl/>
        </w:rPr>
        <w:t>.</w:t>
      </w:r>
      <w:r w:rsidRPr="00444FB2">
        <w:rPr>
          <w:rFonts w:ascii="Arial" w:eastAsia="Calibri" w:hAnsi="Arial" w:hint="cs"/>
          <w:b/>
          <w:bCs/>
          <w:sz w:val="24"/>
          <w:rtl/>
        </w:rPr>
        <w:t xml:space="preserve"> לפיכך, נקבע כי מאחר שמדובר בתשלום בגין אי תחרות התקבול בגינו ימוסה במס הוני לפי פקודת מס ההכנסה.  </w:t>
      </w:r>
      <w:r w:rsidRPr="00444FB2">
        <w:rPr>
          <w:rFonts w:ascii="Arial" w:eastAsia="Calibri" w:hAnsi="Arial" w:hint="eastAsia"/>
          <w:b/>
          <w:bCs/>
          <w:sz w:val="24"/>
          <w:rtl/>
        </w:rPr>
        <w:t xml:space="preserve"> </w:t>
      </w:r>
    </w:p>
    <w:p w:rsidR="000118BE" w:rsidRDefault="000118BE" w:rsidP="00A8553B">
      <w:pPr>
        <w:tabs>
          <w:tab w:val="left" w:pos="-102"/>
        </w:tabs>
        <w:bidi/>
        <w:spacing w:line="360" w:lineRule="auto"/>
        <w:ind w:left="-101"/>
        <w:jc w:val="both"/>
        <w:rPr>
          <w:sz w:val="22"/>
          <w:szCs w:val="22"/>
          <w:rtl/>
          <w:lang w:eastAsia="he-IL"/>
        </w:rPr>
      </w:pPr>
      <w:r>
        <w:rPr>
          <w:rFonts w:ascii="David" w:hAnsi="David"/>
          <w:color w:val="000000"/>
          <w:sz w:val="22"/>
          <w:szCs w:val="22"/>
          <w:rtl/>
        </w:rPr>
        <w:t>עמ (מרכז) 29425-01-11</w:t>
      </w:r>
      <w:r w:rsidRPr="004A40C4">
        <w:rPr>
          <w:rFonts w:hint="cs"/>
          <w:color w:val="FF0000"/>
          <w:sz w:val="22"/>
          <w:szCs w:val="22"/>
          <w:rtl/>
        </w:rPr>
        <w:t xml:space="preserve"> </w:t>
      </w:r>
      <w:r w:rsidRPr="004A40C4">
        <w:rPr>
          <w:color w:val="FF0000"/>
          <w:sz w:val="22"/>
          <w:szCs w:val="22"/>
        </w:rPr>
        <w:t>●</w:t>
      </w:r>
      <w:r w:rsidRPr="004A40C4">
        <w:rPr>
          <w:rFonts w:ascii="David" w:hAnsi="David" w:hint="cs"/>
          <w:color w:val="000000"/>
          <w:sz w:val="22"/>
          <w:szCs w:val="22"/>
          <w:rtl/>
        </w:rPr>
        <w:t xml:space="preserve"> </w:t>
      </w:r>
      <w:r w:rsidRPr="00D743FE">
        <w:rPr>
          <w:rFonts w:ascii="David" w:hAnsi="David"/>
          <w:b/>
          <w:bCs/>
          <w:color w:val="000000"/>
          <w:sz w:val="22"/>
          <w:szCs w:val="22"/>
          <w:rtl/>
        </w:rPr>
        <w:t>יוסף ברנע נ' פקיד שומה כפר סבא</w:t>
      </w:r>
      <w:r w:rsidRPr="004A40C4">
        <w:rPr>
          <w:rFonts w:ascii="David" w:hAnsi="David" w:hint="cs"/>
          <w:color w:val="000000"/>
          <w:sz w:val="22"/>
          <w:szCs w:val="22"/>
          <w:rtl/>
        </w:rPr>
        <w:t xml:space="preserve"> (</w:t>
      </w:r>
      <w:r>
        <w:rPr>
          <w:rFonts w:ascii="David" w:hAnsi="David" w:hint="cs"/>
          <w:color w:val="000000"/>
          <w:sz w:val="22"/>
          <w:szCs w:val="22"/>
          <w:rtl/>
        </w:rPr>
        <w:t>21.5.13</w:t>
      </w:r>
      <w:r w:rsidRPr="004A40C4">
        <w:rPr>
          <w:rFonts w:ascii="David" w:hAnsi="David" w:hint="cs"/>
          <w:color w:val="000000"/>
          <w:sz w:val="22"/>
          <w:szCs w:val="22"/>
          <w:rtl/>
        </w:rPr>
        <w:t>)</w:t>
      </w:r>
      <w:r w:rsidRPr="004A40C4">
        <w:rPr>
          <w:rFonts w:hint="cs"/>
          <w:color w:val="FF0000"/>
          <w:sz w:val="22"/>
          <w:szCs w:val="22"/>
          <w:rtl/>
        </w:rPr>
        <w:t xml:space="preserve"> </w:t>
      </w:r>
      <w:r w:rsidRPr="004A40C4">
        <w:rPr>
          <w:color w:val="FF0000"/>
          <w:sz w:val="22"/>
          <w:szCs w:val="22"/>
        </w:rPr>
        <w:t xml:space="preserve"> ●</w:t>
      </w:r>
      <w:r w:rsidRPr="004A40C4">
        <w:rPr>
          <w:rFonts w:ascii="David" w:hAnsi="David" w:hint="cs"/>
          <w:color w:val="000000"/>
          <w:sz w:val="22"/>
          <w:szCs w:val="22"/>
          <w:rtl/>
        </w:rPr>
        <w:t>בפני כבוד השופט</w:t>
      </w:r>
      <w:r>
        <w:rPr>
          <w:rFonts w:ascii="David" w:hAnsi="David" w:hint="cs"/>
          <w:color w:val="000000"/>
          <w:sz w:val="22"/>
          <w:szCs w:val="22"/>
          <w:rtl/>
        </w:rPr>
        <w:t xml:space="preserve"> ד"ר אחיקם סטולר</w:t>
      </w:r>
    </w:p>
    <w:p w:rsidR="00B11772" w:rsidRDefault="00B11772" w:rsidP="00A8553B">
      <w:pPr>
        <w:tabs>
          <w:tab w:val="left" w:pos="90"/>
        </w:tabs>
        <w:bidi/>
        <w:spacing w:line="360" w:lineRule="auto"/>
        <w:ind w:left="-90"/>
        <w:jc w:val="both"/>
        <w:rPr>
          <w:sz w:val="22"/>
          <w:szCs w:val="22"/>
          <w:rtl/>
          <w:lang w:eastAsia="he-IL"/>
        </w:rPr>
      </w:pPr>
    </w:p>
    <w:p w:rsidR="000118BE" w:rsidRPr="00FF211E" w:rsidRDefault="000118BE" w:rsidP="001A3FF2">
      <w:pPr>
        <w:pStyle w:val="18"/>
        <w:bidi/>
        <w:spacing w:line="360" w:lineRule="auto"/>
        <w:rPr>
          <w:color w:val="0000FF"/>
          <w:rtl/>
        </w:rPr>
      </w:pPr>
      <w:bookmarkStart w:id="184" w:name="_Toc228152726"/>
      <w:r w:rsidRPr="00FF211E">
        <w:rPr>
          <w:rFonts w:hint="cs"/>
          <w:color w:val="0000FF"/>
          <w:rtl/>
        </w:rPr>
        <w:lastRenderedPageBreak/>
        <w:t>חלק שני: משפט עבודה קיבוצי</w:t>
      </w:r>
      <w:bookmarkEnd w:id="184"/>
    </w:p>
    <w:p w:rsidR="000118BE" w:rsidRPr="00FF211E" w:rsidRDefault="000118BE" w:rsidP="00A8553B">
      <w:pPr>
        <w:bidi/>
        <w:spacing w:line="360" w:lineRule="auto"/>
        <w:jc w:val="both"/>
        <w:rPr>
          <w:rFonts w:ascii="David" w:hAnsi="David"/>
          <w:color w:val="0000FF"/>
          <w:sz w:val="26"/>
          <w:szCs w:val="20"/>
          <w:rtl/>
        </w:rPr>
      </w:pPr>
    </w:p>
    <w:p w:rsidR="000118BE" w:rsidRPr="00FF211E" w:rsidRDefault="000118BE" w:rsidP="00A8553B">
      <w:pPr>
        <w:pStyle w:val="3"/>
        <w:rPr>
          <w:color w:val="0000FF"/>
        </w:rPr>
      </w:pPr>
      <w:bookmarkStart w:id="185" w:name="_Toc228152727"/>
      <w:bookmarkStart w:id="186" w:name="_Toc383530643"/>
      <w:bookmarkStart w:id="187" w:name="_Toc383587189"/>
      <w:bookmarkStart w:id="188" w:name="_Toc383587394"/>
      <w:bookmarkStart w:id="189" w:name="_Toc383587836"/>
      <w:r w:rsidRPr="00FF211E">
        <w:rPr>
          <w:rFonts w:hint="cs"/>
          <w:color w:val="0000FF"/>
          <w:rtl/>
        </w:rPr>
        <w:t>הסכמים/הסדרים קיבוציי</w:t>
      </w:r>
      <w:bookmarkEnd w:id="185"/>
      <w:r w:rsidRPr="00FF211E">
        <w:rPr>
          <w:rFonts w:hint="cs"/>
          <w:color w:val="0000FF"/>
          <w:rtl/>
        </w:rPr>
        <w:t>ם</w:t>
      </w:r>
      <w:bookmarkEnd w:id="186"/>
      <w:bookmarkEnd w:id="187"/>
      <w:bookmarkEnd w:id="188"/>
      <w:bookmarkEnd w:id="189"/>
    </w:p>
    <w:p w:rsidR="000118BE" w:rsidRDefault="000118BE" w:rsidP="00A8553B">
      <w:pPr>
        <w:bidi/>
        <w:spacing w:line="360" w:lineRule="auto"/>
        <w:jc w:val="both"/>
        <w:outlineLvl w:val="1"/>
        <w:rPr>
          <w:rFonts w:ascii="David" w:hAnsi="David"/>
          <w:b/>
          <w:bCs/>
          <w:sz w:val="36"/>
          <w:szCs w:val="30"/>
          <w:u w:val="single"/>
          <w:rtl/>
        </w:rPr>
      </w:pPr>
    </w:p>
    <w:p w:rsidR="000118BE" w:rsidRPr="00FF211E" w:rsidRDefault="000118BE" w:rsidP="00A8553B">
      <w:pPr>
        <w:numPr>
          <w:ilvl w:val="0"/>
          <w:numId w:val="26"/>
        </w:numPr>
        <w:tabs>
          <w:tab w:val="left" w:pos="70"/>
        </w:tabs>
        <w:bidi/>
        <w:spacing w:line="360" w:lineRule="auto"/>
        <w:jc w:val="both"/>
        <w:rPr>
          <w:rFonts w:ascii="Arial" w:hAnsi="Arial"/>
          <w:b/>
          <w:bCs/>
          <w:color w:val="0000FF"/>
          <w:sz w:val="24"/>
          <w:u w:val="single"/>
          <w:rtl/>
        </w:rPr>
      </w:pPr>
      <w:r w:rsidRPr="00FF211E">
        <w:rPr>
          <w:rFonts w:ascii="Arial" w:hAnsi="Arial" w:hint="cs"/>
          <w:b/>
          <w:bCs/>
          <w:color w:val="0000FF"/>
          <w:sz w:val="24"/>
          <w:u w:val="single"/>
          <w:rtl/>
        </w:rPr>
        <w:t>פיצוי של כ-2 מיליון ₪ ל-31 עובדי ביטחון בבז"ן עקב שלילת זכויות מכוח הסכם קיבוצי, עקב אפליה והפרת חובת השימוע</w:t>
      </w:r>
    </w:p>
    <w:p w:rsidR="000118BE" w:rsidRDefault="000118BE" w:rsidP="00A8553B">
      <w:pPr>
        <w:tabs>
          <w:tab w:val="left" w:pos="70"/>
        </w:tabs>
        <w:bidi/>
        <w:spacing w:line="360" w:lineRule="auto"/>
        <w:ind w:left="-102"/>
        <w:jc w:val="both"/>
        <w:rPr>
          <w:b/>
          <w:bCs/>
          <w:sz w:val="28"/>
          <w:szCs w:val="28"/>
        </w:rPr>
      </w:pPr>
    </w:p>
    <w:p w:rsidR="000118BE" w:rsidRPr="00506D6A"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102"/>
        <w:rPr>
          <w:rFonts w:cs="David"/>
          <w:b/>
          <w:bCs/>
          <w:noProof w:val="0"/>
          <w:szCs w:val="24"/>
          <w:rtl/>
          <w:lang w:eastAsia="en-US"/>
        </w:rPr>
      </w:pPr>
      <w:r w:rsidRPr="00506D6A">
        <w:rPr>
          <w:rFonts w:cs="David" w:hint="cs"/>
          <w:b/>
          <w:bCs/>
          <w:noProof w:val="0"/>
          <w:szCs w:val="24"/>
          <w:rtl/>
          <w:lang w:eastAsia="en-US"/>
        </w:rPr>
        <w:t>בית הדין האזורי לעבודה קיבל בחלקה תביעת 31 עובדי ביטחון בבתי זקוק לנפט בע"מ, שביקשו להכיר בהם כעובדים קבועים שעליהם חלים ההסכמים הקיבוציים ולפיכך, לשלם להם מענקים ותגמולים שונים.</w:t>
      </w:r>
    </w:p>
    <w:p w:rsidR="000118BE" w:rsidRPr="00506D6A"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102"/>
        <w:rPr>
          <w:rFonts w:cs="David"/>
          <w:b/>
          <w:bCs/>
          <w:noProof w:val="0"/>
          <w:szCs w:val="24"/>
          <w:rtl/>
          <w:lang w:eastAsia="en-US"/>
        </w:rPr>
      </w:pPr>
      <w:r w:rsidRPr="00506D6A">
        <w:rPr>
          <w:rFonts w:cs="David" w:hint="cs"/>
          <w:b/>
          <w:bCs/>
          <w:noProof w:val="0"/>
          <w:szCs w:val="24"/>
          <w:rtl/>
          <w:lang w:eastAsia="en-US"/>
        </w:rPr>
        <w:t>בית הדין קבע, כי משקבע ההסכם הקיבוצי שדרושה החלטה של המעביד על מנת שעובד יעבור למעמד של "עובד קבוע", מעבר למעמד זה אינו אוטומטי רק בגלל שתמה תקופת ניסיון ולכל היותר עובדי הביטחון בבז"ן הינם במעמד של "עובדים זמניים קבועים" שחל עליהם ההסכם הקיבוצי.</w:t>
      </w:r>
    </w:p>
    <w:p w:rsidR="000118BE" w:rsidRPr="00506D6A"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102"/>
        <w:rPr>
          <w:rFonts w:cs="David"/>
          <w:b/>
          <w:bCs/>
          <w:noProof w:val="0"/>
          <w:szCs w:val="24"/>
          <w:rtl/>
          <w:lang w:eastAsia="en-US"/>
        </w:rPr>
      </w:pPr>
      <w:r w:rsidRPr="00506D6A">
        <w:rPr>
          <w:rFonts w:cs="David" w:hint="cs"/>
          <w:b/>
          <w:bCs/>
          <w:noProof w:val="0"/>
          <w:szCs w:val="24"/>
          <w:rtl/>
          <w:lang w:eastAsia="en-US"/>
        </w:rPr>
        <w:t>אשר לזכויות הנוספות שתבעו העובדים, ושאינן מכוח ההסכם הקיבוצי, נקבע כי עובדי הביטחון הזמניים אינם זכאים לזכויות שזכאים להם עובדים קבועים, כגון "מענק רווחים". בית הדין פסק לעובדים פיצוי בגין הפרת חוזה עבודה עקב שלילת "מענק פיצול" ו"מענק הפרטה", כמו כן נפסקו פיצויים בגין מניעת זכות חד צדדית שהעניקה בז"ן לעובדים שהתייצבו לעבודתם בתקופת המלחמה ("תגמול נופש"). עובדים אשר נקבע כי פוטרו ללא זכות שימוע ותוך הפרת הסכם קיבוצי פוצו אף הם. סך הפיצוי שנפסק לעובדים הינו כ- 2 מיליון₪, מתוכם 85,000₪ הוצאות משפט.</w:t>
      </w:r>
    </w:p>
    <w:p w:rsidR="000118BE" w:rsidRPr="00506D6A" w:rsidRDefault="000118BE" w:rsidP="00A8553B">
      <w:pPr>
        <w:tabs>
          <w:tab w:val="left" w:pos="-102"/>
        </w:tabs>
        <w:bidi/>
        <w:spacing w:line="360" w:lineRule="auto"/>
        <w:ind w:left="-101"/>
        <w:jc w:val="both"/>
        <w:rPr>
          <w:rFonts w:ascii="Arial" w:hAnsi="Arial"/>
          <w:b/>
          <w:bCs/>
          <w:color w:val="000080"/>
          <w:sz w:val="22"/>
          <w:szCs w:val="22"/>
          <w:u w:val="single"/>
          <w:rtl/>
        </w:rPr>
      </w:pPr>
      <w:r w:rsidRPr="00506D6A">
        <w:rPr>
          <w:rFonts w:hint="cs"/>
          <w:sz w:val="22"/>
          <w:szCs w:val="22"/>
          <w:rtl/>
        </w:rPr>
        <w:t xml:space="preserve">תעא (חי') 3408/07 </w:t>
      </w:r>
      <w:r w:rsidRPr="00506D6A">
        <w:rPr>
          <w:color w:val="FF0000"/>
          <w:sz w:val="22"/>
          <w:szCs w:val="22"/>
        </w:rPr>
        <w:t>●</w:t>
      </w:r>
      <w:r w:rsidRPr="00506D6A">
        <w:rPr>
          <w:rFonts w:hint="cs"/>
          <w:b/>
          <w:bCs/>
          <w:sz w:val="22"/>
          <w:szCs w:val="22"/>
          <w:rtl/>
        </w:rPr>
        <w:t xml:space="preserve"> דביאן אלי ואח' נגד בתי זיקוק לנפט בע"מ</w:t>
      </w:r>
      <w:r w:rsidRPr="00506D6A">
        <w:rPr>
          <w:rFonts w:hint="cs"/>
          <w:sz w:val="22"/>
          <w:szCs w:val="22"/>
          <w:rtl/>
        </w:rPr>
        <w:t xml:space="preserve"> (12.11.13) </w:t>
      </w:r>
      <w:r w:rsidRPr="00506D6A">
        <w:rPr>
          <w:sz w:val="22"/>
          <w:szCs w:val="22"/>
        </w:rPr>
        <w:t xml:space="preserve"> </w:t>
      </w:r>
      <w:r w:rsidRPr="00506D6A">
        <w:rPr>
          <w:color w:val="FF0000"/>
          <w:sz w:val="22"/>
          <w:szCs w:val="22"/>
        </w:rPr>
        <w:t>●</w:t>
      </w:r>
      <w:r w:rsidRPr="00506D6A">
        <w:rPr>
          <w:rFonts w:hint="cs"/>
          <w:sz w:val="22"/>
          <w:szCs w:val="22"/>
          <w:rtl/>
        </w:rPr>
        <w:t>בפני כבוד השופטת אביטל רימון-קפלן,  נ.ע. מר משה קידר, נ.מ. מר אלי פיילר.</w:t>
      </w:r>
    </w:p>
    <w:p w:rsidR="00A12D8C" w:rsidRPr="00FF211E" w:rsidRDefault="00A12D8C" w:rsidP="00A8553B">
      <w:pPr>
        <w:tabs>
          <w:tab w:val="left" w:pos="90"/>
        </w:tabs>
        <w:spacing w:line="360" w:lineRule="auto"/>
        <w:ind w:left="-90"/>
        <w:jc w:val="both"/>
        <w:rPr>
          <w:color w:val="0000FF"/>
          <w:sz w:val="22"/>
          <w:szCs w:val="22"/>
          <w:lang w:eastAsia="he-IL"/>
        </w:rPr>
      </w:pPr>
    </w:p>
    <w:p w:rsidR="000118BE" w:rsidRPr="00FF211E" w:rsidRDefault="005C3C65" w:rsidP="00A8553B">
      <w:pPr>
        <w:pStyle w:val="3"/>
        <w:rPr>
          <w:color w:val="0000FF"/>
        </w:rPr>
      </w:pPr>
      <w:r w:rsidRPr="00FF211E">
        <w:rPr>
          <w:rFonts w:hint="cs"/>
          <w:color w:val="0000FF"/>
          <w:rtl/>
        </w:rPr>
        <w:t>משפט עבודה ארגוני</w:t>
      </w:r>
    </w:p>
    <w:p w:rsidR="000118BE" w:rsidRPr="00FF211E" w:rsidRDefault="000118BE" w:rsidP="008F590E">
      <w:pPr>
        <w:tabs>
          <w:tab w:val="left" w:pos="-316"/>
        </w:tabs>
        <w:bidi/>
        <w:ind w:left="26" w:right="-180"/>
        <w:jc w:val="both"/>
        <w:rPr>
          <w:rFonts w:ascii="Arial" w:hAnsi="Arial"/>
          <w:b/>
          <w:bCs/>
          <w:color w:val="0000FF"/>
          <w:sz w:val="28"/>
          <w:szCs w:val="28"/>
          <w:u w:val="single"/>
          <w:rtl/>
        </w:rPr>
      </w:pPr>
    </w:p>
    <w:p w:rsidR="000118BE" w:rsidRPr="00FF211E" w:rsidRDefault="000118BE" w:rsidP="00A8553B">
      <w:pPr>
        <w:numPr>
          <w:ilvl w:val="0"/>
          <w:numId w:val="19"/>
        </w:numPr>
        <w:tabs>
          <w:tab w:val="left" w:pos="-316"/>
        </w:tabs>
        <w:bidi/>
        <w:spacing w:line="360" w:lineRule="auto"/>
        <w:ind w:right="0" w:hanging="612"/>
        <w:jc w:val="both"/>
        <w:rPr>
          <w:rFonts w:ascii="Arial" w:hAnsi="Arial"/>
          <w:b/>
          <w:bCs/>
          <w:color w:val="0000FF"/>
          <w:sz w:val="24"/>
          <w:u w:val="single"/>
        </w:rPr>
      </w:pPr>
      <w:r w:rsidRPr="00FF211E">
        <w:rPr>
          <w:rFonts w:ascii="Arial" w:hAnsi="Arial" w:hint="cs"/>
          <w:b/>
          <w:bCs/>
          <w:color w:val="0000FF"/>
          <w:sz w:val="24"/>
          <w:u w:val="single"/>
          <w:rtl/>
        </w:rPr>
        <w:t>התקבלה תביעה ארגונית של מנהל רפואי בכיר להתמודד בבחירות לוועד הרופאים</w:t>
      </w:r>
    </w:p>
    <w:p w:rsidR="000118BE" w:rsidRPr="008F590E" w:rsidRDefault="000118BE" w:rsidP="008F590E">
      <w:pPr>
        <w:tabs>
          <w:tab w:val="left" w:pos="-316"/>
        </w:tabs>
        <w:bidi/>
        <w:ind w:left="26" w:right="-180"/>
        <w:jc w:val="both"/>
        <w:rPr>
          <w:rFonts w:ascii="Arial" w:hAnsi="Arial"/>
          <w:b/>
          <w:bCs/>
          <w:color w:val="008000"/>
          <w:sz w:val="28"/>
          <w:szCs w:val="28"/>
          <w:u w:val="single"/>
        </w:rPr>
      </w:pPr>
    </w:p>
    <w:p w:rsidR="000118BE"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102"/>
        <w:rPr>
          <w:rFonts w:cs="David"/>
          <w:b/>
          <w:bCs/>
          <w:noProof w:val="0"/>
          <w:szCs w:val="24"/>
          <w:rtl/>
          <w:lang w:eastAsia="en-US"/>
        </w:rPr>
      </w:pPr>
      <w:r w:rsidRPr="008D1882">
        <w:rPr>
          <w:rFonts w:cs="David" w:hint="cs"/>
          <w:b/>
          <w:bCs/>
          <w:noProof w:val="0"/>
          <w:szCs w:val="24"/>
          <w:rtl/>
          <w:lang w:eastAsia="en-US"/>
        </w:rPr>
        <w:t xml:space="preserve">התובע, רופא בכיר המשמש כיו"ר ועד רופאי בית חולים בלינסון, התמנה למנהל מרכז דוידוף בביה"ח. הנתבעת, מזכירות ארגון רופאי שירותי בריאות כללית, הודיעה לרופא כי תפקידו החדש, כמנהל מרכז דוידוף, עומד בסתירה לתקנון הארגון, מחייב את התפטרותו מתפקידו הנוכחי בוועד ואוסר על התמודדות חוזרת לועד הרופאים. הנתבעת טענה, כי הרופא מצוי בניגוד עניינים מוסדי ו/או אישי, המצדיקים את פסילתו מלהתמודד בבחירות לוועד הרופאים.  </w:t>
      </w:r>
    </w:p>
    <w:p w:rsidR="000118BE" w:rsidRPr="008D1882" w:rsidRDefault="000118BE" w:rsidP="00A8553B">
      <w:pPr>
        <w:pStyle w:val="P00"/>
        <w:tabs>
          <w:tab w:val="clear" w:pos="624"/>
          <w:tab w:val="clear" w:pos="1021"/>
          <w:tab w:val="clear" w:pos="1474"/>
          <w:tab w:val="clear" w:pos="1928"/>
          <w:tab w:val="clear" w:pos="2381"/>
          <w:tab w:val="clear" w:pos="2835"/>
          <w:tab w:val="clear" w:pos="6259"/>
          <w:tab w:val="right" w:leader="dot" w:pos="8283"/>
        </w:tabs>
        <w:spacing w:before="0" w:line="360" w:lineRule="auto"/>
        <w:ind w:left="-102"/>
        <w:rPr>
          <w:rFonts w:cs="David"/>
          <w:b/>
          <w:bCs/>
          <w:noProof w:val="0"/>
          <w:szCs w:val="24"/>
          <w:lang w:eastAsia="en-US"/>
        </w:rPr>
      </w:pPr>
      <w:r w:rsidRPr="008D1882">
        <w:rPr>
          <w:rFonts w:cs="David" w:hint="cs"/>
          <w:b/>
          <w:bCs/>
          <w:noProof w:val="0"/>
          <w:szCs w:val="24"/>
          <w:rtl/>
          <w:lang w:eastAsia="en-US"/>
        </w:rPr>
        <w:t xml:space="preserve">בית הדין קיבל את תביעת הרופא וקבע, כי הזכות להתארגן בארגון עובדים, טומנת בחובה גם את זכותו של הפרט להיבחר כמייצג עובדים. לפיכך, יש לאפשר לעובדים להציע מועמדותם לבחירות. עוד קבע בית הדין, כי תפקיד הניהול בו שימש התובע, אינו בגדר המקצועות האסורים המופיעים בתקנון הארגון. באשר לשאלת ניגוד העניינים, נדרש בית הדין למבחן דו שלבי: ראשית, יש לבחון האם העובד </w:t>
      </w:r>
      <w:r w:rsidRPr="008D1882">
        <w:rPr>
          <w:rFonts w:cs="David" w:hint="cs"/>
          <w:b/>
          <w:bCs/>
          <w:noProof w:val="0"/>
          <w:szCs w:val="24"/>
          <w:rtl/>
          <w:lang w:eastAsia="en-US"/>
        </w:rPr>
        <w:lastRenderedPageBreak/>
        <w:t>נמצא בתפקיד ניהול זוטר או בכיר; שנית, יש לבחון האם תפקידו הניהולי קשור לניהול משאבי אנוש. בענייננו, נקבע כי הרופא מונה לתפקיד ניהול בכיר לפני כחצי שנה, אולם לא הוכח כי עסק עיסוק נרחב בתחום משאבי האנוש, ולכן הוא כשיר להתמודד בבחירות לוועד.</w:t>
      </w:r>
    </w:p>
    <w:p w:rsidR="000118BE" w:rsidRPr="00DD37EF" w:rsidRDefault="000118BE" w:rsidP="00A8553B">
      <w:pPr>
        <w:tabs>
          <w:tab w:val="left" w:pos="-102"/>
        </w:tabs>
        <w:bidi/>
        <w:spacing w:line="360" w:lineRule="auto"/>
        <w:ind w:left="-101"/>
        <w:jc w:val="both"/>
        <w:rPr>
          <w:rFonts w:ascii="David" w:eastAsia="Calibri" w:hAnsi="David"/>
          <w:color w:val="000000"/>
          <w:sz w:val="22"/>
          <w:szCs w:val="22"/>
          <w:rtl/>
        </w:rPr>
      </w:pPr>
      <w:r w:rsidRPr="00DD37EF">
        <w:rPr>
          <w:rFonts w:ascii="David" w:eastAsia="Calibri" w:hAnsi="David" w:hint="cs"/>
          <w:color w:val="000000"/>
          <w:sz w:val="22"/>
          <w:szCs w:val="22"/>
          <w:rtl/>
        </w:rPr>
        <w:t xml:space="preserve">סע"ש (אזורי ת"א) 48282-10-13 </w:t>
      </w:r>
      <w:r w:rsidRPr="0013768B">
        <w:rPr>
          <w:rFonts w:ascii="Calibri" w:eastAsia="Calibri" w:hAnsi="Calibri"/>
          <w:color w:val="FF0000"/>
          <w:sz w:val="22"/>
          <w:szCs w:val="22"/>
        </w:rPr>
        <w:t>●</w:t>
      </w:r>
      <w:r w:rsidRPr="00DD37EF">
        <w:rPr>
          <w:rFonts w:ascii="David" w:eastAsia="Calibri" w:hAnsi="David" w:hint="cs"/>
          <w:color w:val="000000"/>
          <w:sz w:val="22"/>
          <w:szCs w:val="22"/>
          <w:rtl/>
        </w:rPr>
        <w:t xml:space="preserve"> </w:t>
      </w:r>
      <w:r w:rsidRPr="00DD37EF">
        <w:rPr>
          <w:rFonts w:ascii="David" w:eastAsia="Calibri" w:hAnsi="David" w:hint="cs"/>
          <w:b/>
          <w:bCs/>
          <w:color w:val="000000"/>
          <w:sz w:val="22"/>
          <w:szCs w:val="22"/>
          <w:rtl/>
        </w:rPr>
        <w:t>פרופ' ברוך ברנר נ' מזכירות חטיבת בתי החולים של ארגון רופאי שירותי בריאות כללית</w:t>
      </w:r>
      <w:r w:rsidRPr="00DD37EF">
        <w:rPr>
          <w:rFonts w:ascii="David" w:eastAsia="Calibri" w:hAnsi="David" w:hint="cs"/>
          <w:color w:val="000000"/>
          <w:sz w:val="22"/>
          <w:szCs w:val="22"/>
          <w:rtl/>
        </w:rPr>
        <w:t xml:space="preserve"> (22.12.2013) </w:t>
      </w:r>
      <w:r w:rsidRPr="0013768B">
        <w:rPr>
          <w:rFonts w:ascii="Calibri" w:eastAsia="Calibri" w:hAnsi="Calibri"/>
          <w:color w:val="FF0000"/>
          <w:sz w:val="22"/>
          <w:szCs w:val="22"/>
        </w:rPr>
        <w:t xml:space="preserve"> </w:t>
      </w:r>
      <w:r w:rsidRPr="0013768B">
        <w:rPr>
          <w:rFonts w:ascii="Arial" w:eastAsia="Calibri" w:hAnsi="Arial" w:cs="Arial"/>
          <w:color w:val="FF0000"/>
          <w:sz w:val="22"/>
          <w:szCs w:val="22"/>
        </w:rPr>
        <w:t>●</w:t>
      </w:r>
      <w:r w:rsidRPr="00DD37EF">
        <w:rPr>
          <w:rFonts w:ascii="David" w:eastAsia="Calibri" w:hAnsi="David" w:hint="cs"/>
          <w:color w:val="000000"/>
          <w:sz w:val="22"/>
          <w:szCs w:val="22"/>
          <w:rtl/>
        </w:rPr>
        <w:t xml:space="preserve">בפני כבוד סגן הנשיא, הש' שמואל טננבוים, גב' חנה נאמן גלאי </w:t>
      </w:r>
      <w:r w:rsidRPr="00DD37EF">
        <w:rPr>
          <w:rFonts w:ascii="David" w:eastAsia="Calibri" w:hAnsi="David"/>
          <w:color w:val="000000"/>
          <w:sz w:val="22"/>
          <w:szCs w:val="22"/>
          <w:rtl/>
        </w:rPr>
        <w:t>–</w:t>
      </w:r>
      <w:r w:rsidRPr="00DD37EF">
        <w:rPr>
          <w:rFonts w:ascii="David" w:eastAsia="Calibri" w:hAnsi="David" w:hint="cs"/>
          <w:color w:val="000000"/>
          <w:sz w:val="22"/>
          <w:szCs w:val="22"/>
          <w:rtl/>
        </w:rPr>
        <w:t xml:space="preserve"> נציגת ציבור (עובדים), מר צבי זייד </w:t>
      </w:r>
      <w:r w:rsidRPr="00DD37EF">
        <w:rPr>
          <w:rFonts w:ascii="David" w:eastAsia="Calibri" w:hAnsi="David"/>
          <w:color w:val="000000"/>
          <w:sz w:val="22"/>
          <w:szCs w:val="22"/>
          <w:rtl/>
        </w:rPr>
        <w:t>–</w:t>
      </w:r>
      <w:r w:rsidRPr="00DD37EF">
        <w:rPr>
          <w:rFonts w:ascii="David" w:eastAsia="Calibri" w:hAnsi="David" w:hint="cs"/>
          <w:color w:val="000000"/>
          <w:sz w:val="22"/>
          <w:szCs w:val="22"/>
          <w:rtl/>
        </w:rPr>
        <w:t xml:space="preserve"> נציג ציבור (מעבידים)</w:t>
      </w:r>
    </w:p>
    <w:p w:rsidR="000118BE" w:rsidRPr="00FF211E" w:rsidRDefault="000118BE" w:rsidP="008F590E">
      <w:pPr>
        <w:tabs>
          <w:tab w:val="left" w:pos="-316"/>
        </w:tabs>
        <w:bidi/>
        <w:ind w:left="26"/>
        <w:jc w:val="both"/>
        <w:rPr>
          <w:rFonts w:ascii="Arial" w:hAnsi="Arial"/>
          <w:b/>
          <w:bCs/>
          <w:color w:val="0000FF"/>
          <w:sz w:val="28"/>
          <w:szCs w:val="28"/>
          <w:u w:val="single"/>
          <w:rtl/>
        </w:rPr>
      </w:pPr>
    </w:p>
    <w:p w:rsidR="000118BE" w:rsidRPr="00FF211E" w:rsidRDefault="000118BE" w:rsidP="00A8553B">
      <w:pPr>
        <w:numPr>
          <w:ilvl w:val="0"/>
          <w:numId w:val="19"/>
        </w:numPr>
        <w:tabs>
          <w:tab w:val="left" w:pos="-316"/>
        </w:tabs>
        <w:bidi/>
        <w:spacing w:line="360" w:lineRule="auto"/>
        <w:ind w:right="0" w:hanging="612"/>
        <w:jc w:val="both"/>
        <w:rPr>
          <w:rFonts w:ascii="Arial" w:hAnsi="Arial"/>
          <w:b/>
          <w:bCs/>
          <w:color w:val="0000FF"/>
          <w:sz w:val="24"/>
          <w:u w:val="single"/>
        </w:rPr>
      </w:pPr>
      <w:r w:rsidRPr="00FF211E">
        <w:rPr>
          <w:rFonts w:ascii="Arial" w:hAnsi="Arial" w:hint="cs"/>
          <w:b/>
          <w:bCs/>
          <w:color w:val="0000FF"/>
          <w:sz w:val="24"/>
          <w:u w:val="single"/>
          <w:rtl/>
        </w:rPr>
        <w:t xml:space="preserve">הוכרה יחידת מיקוח זמנית נפרדת של עיתונאים ב- </w:t>
      </w:r>
      <w:r w:rsidRPr="00FF211E">
        <w:rPr>
          <w:rFonts w:ascii="Arial" w:hAnsi="Arial"/>
          <w:b/>
          <w:bCs/>
          <w:color w:val="0000FF"/>
          <w:sz w:val="24"/>
          <w:u w:val="single"/>
        </w:rPr>
        <w:t>Ynet</w:t>
      </w:r>
    </w:p>
    <w:p w:rsidR="000118BE" w:rsidRPr="002850A2" w:rsidRDefault="000118BE" w:rsidP="008F590E">
      <w:pPr>
        <w:tabs>
          <w:tab w:val="left" w:pos="62"/>
          <w:tab w:val="left" w:pos="90"/>
        </w:tabs>
        <w:bidi/>
        <w:ind w:left="397" w:right="-180" w:hanging="397"/>
        <w:jc w:val="both"/>
        <w:rPr>
          <w:rFonts w:eastAsia="Calibri"/>
          <w:sz w:val="24"/>
          <w:rtl/>
        </w:rPr>
      </w:pPr>
    </w:p>
    <w:p w:rsidR="000118BE" w:rsidRPr="0031396E" w:rsidRDefault="000118BE" w:rsidP="00A8553B">
      <w:pPr>
        <w:tabs>
          <w:tab w:val="left" w:pos="0"/>
        </w:tabs>
        <w:bidi/>
        <w:spacing w:line="360" w:lineRule="auto"/>
        <w:jc w:val="both"/>
        <w:rPr>
          <w:rFonts w:eastAsia="Calibri"/>
          <w:b/>
          <w:bCs/>
          <w:sz w:val="24"/>
          <w:rtl/>
        </w:rPr>
      </w:pPr>
      <w:r w:rsidRPr="0031396E">
        <w:rPr>
          <w:rFonts w:eastAsia="Calibri"/>
          <w:b/>
          <w:bCs/>
          <w:sz w:val="24"/>
          <w:rtl/>
        </w:rPr>
        <w:t>בי</w:t>
      </w:r>
      <w:r w:rsidRPr="0031396E">
        <w:rPr>
          <w:rFonts w:eastAsia="Calibri" w:hint="cs"/>
          <w:b/>
          <w:bCs/>
          <w:sz w:val="24"/>
          <w:rtl/>
        </w:rPr>
        <w:t>ת הדין</w:t>
      </w:r>
      <w:r w:rsidRPr="0031396E">
        <w:rPr>
          <w:rFonts w:eastAsia="Calibri"/>
          <w:b/>
          <w:bCs/>
          <w:sz w:val="24"/>
          <w:rtl/>
        </w:rPr>
        <w:t xml:space="preserve"> האזורי לעבודה בת"א </w:t>
      </w:r>
      <w:r w:rsidRPr="0031396E">
        <w:rPr>
          <w:rFonts w:eastAsia="Calibri" w:hint="cs"/>
          <w:b/>
          <w:bCs/>
          <w:sz w:val="24"/>
          <w:rtl/>
        </w:rPr>
        <w:t xml:space="preserve">קיבל </w:t>
      </w:r>
      <w:r w:rsidRPr="0031396E">
        <w:rPr>
          <w:rFonts w:eastAsia="Calibri"/>
          <w:b/>
          <w:bCs/>
          <w:sz w:val="24"/>
          <w:rtl/>
        </w:rPr>
        <w:t>את תביע</w:t>
      </w:r>
      <w:r w:rsidRPr="0031396E">
        <w:rPr>
          <w:rFonts w:eastAsia="Calibri" w:hint="cs"/>
          <w:b/>
          <w:bCs/>
          <w:sz w:val="24"/>
          <w:rtl/>
        </w:rPr>
        <w:t>תו</w:t>
      </w:r>
      <w:r w:rsidRPr="0031396E">
        <w:rPr>
          <w:rFonts w:eastAsia="Calibri"/>
          <w:b/>
          <w:bCs/>
          <w:sz w:val="24"/>
          <w:rtl/>
        </w:rPr>
        <w:t xml:space="preserve"> של ארגון העיתונאים בהסתדרות להכיר ב</w:t>
      </w:r>
      <w:r w:rsidRPr="0031396E">
        <w:rPr>
          <w:rFonts w:eastAsia="Calibri" w:hint="cs"/>
          <w:b/>
          <w:bCs/>
          <w:sz w:val="24"/>
          <w:rtl/>
        </w:rPr>
        <w:t>ו</w:t>
      </w:r>
      <w:r w:rsidRPr="0031396E">
        <w:rPr>
          <w:rFonts w:eastAsia="Calibri"/>
          <w:b/>
          <w:bCs/>
          <w:sz w:val="24"/>
          <w:rtl/>
        </w:rPr>
        <w:t xml:space="preserve"> כארגון היציג </w:t>
      </w:r>
      <w:r w:rsidRPr="0031396E">
        <w:rPr>
          <w:rFonts w:eastAsia="Calibri" w:hint="cs"/>
          <w:b/>
          <w:bCs/>
          <w:sz w:val="24"/>
          <w:rtl/>
        </w:rPr>
        <w:t xml:space="preserve">הנפרד </w:t>
      </w:r>
      <w:r w:rsidRPr="0031396E">
        <w:rPr>
          <w:rFonts w:eastAsia="Calibri"/>
          <w:b/>
          <w:bCs/>
          <w:sz w:val="24"/>
          <w:rtl/>
        </w:rPr>
        <w:t>של הע</w:t>
      </w:r>
      <w:r w:rsidRPr="0031396E">
        <w:rPr>
          <w:rFonts w:eastAsia="Calibri" w:hint="cs"/>
          <w:b/>
          <w:bCs/>
          <w:sz w:val="24"/>
          <w:rtl/>
        </w:rPr>
        <w:t>יתונאים</w:t>
      </w:r>
      <w:r w:rsidRPr="0031396E">
        <w:rPr>
          <w:rFonts w:eastAsia="Calibri"/>
          <w:b/>
          <w:bCs/>
          <w:sz w:val="24"/>
          <w:rtl/>
        </w:rPr>
        <w:t xml:space="preserve"> ב-</w:t>
      </w:r>
      <w:r w:rsidRPr="0031396E">
        <w:rPr>
          <w:rFonts w:eastAsia="Calibri"/>
          <w:b/>
          <w:bCs/>
          <w:sz w:val="24"/>
        </w:rPr>
        <w:t>Ynet</w:t>
      </w:r>
      <w:r w:rsidRPr="0031396E">
        <w:rPr>
          <w:rFonts w:eastAsia="Calibri"/>
          <w:b/>
          <w:bCs/>
          <w:sz w:val="24"/>
          <w:rtl/>
        </w:rPr>
        <w:t>. נקבע</w:t>
      </w:r>
      <w:r w:rsidRPr="0031396E">
        <w:rPr>
          <w:rFonts w:eastAsia="Calibri" w:hint="cs"/>
          <w:b/>
          <w:bCs/>
          <w:sz w:val="24"/>
          <w:rtl/>
        </w:rPr>
        <w:t>,</w:t>
      </w:r>
      <w:r w:rsidRPr="0031396E">
        <w:rPr>
          <w:rFonts w:eastAsia="Calibri"/>
          <w:b/>
          <w:bCs/>
          <w:sz w:val="24"/>
          <w:rtl/>
        </w:rPr>
        <w:t xml:space="preserve"> כי </w:t>
      </w:r>
      <w:r w:rsidRPr="0031396E">
        <w:rPr>
          <w:rFonts w:eastAsia="Calibri" w:hint="cs"/>
          <w:b/>
          <w:bCs/>
          <w:sz w:val="24"/>
          <w:rtl/>
        </w:rPr>
        <w:t>"</w:t>
      </w:r>
      <w:r w:rsidRPr="0031396E">
        <w:rPr>
          <w:rFonts w:eastAsia="Calibri"/>
          <w:b/>
          <w:bCs/>
          <w:sz w:val="24"/>
          <w:rtl/>
        </w:rPr>
        <w:t>ידיעות אינטרנט</w:t>
      </w:r>
      <w:r w:rsidRPr="0031396E">
        <w:rPr>
          <w:rFonts w:eastAsia="Calibri" w:hint="cs"/>
          <w:b/>
          <w:bCs/>
          <w:sz w:val="24"/>
          <w:rtl/>
        </w:rPr>
        <w:t>"</w:t>
      </w:r>
      <w:r w:rsidRPr="0031396E">
        <w:rPr>
          <w:rFonts w:eastAsia="Calibri"/>
          <w:b/>
          <w:bCs/>
          <w:sz w:val="24"/>
          <w:rtl/>
        </w:rPr>
        <w:t xml:space="preserve"> שמפעיל את האתר</w:t>
      </w:r>
      <w:r w:rsidRPr="0031396E">
        <w:rPr>
          <w:rFonts w:eastAsia="Calibri" w:hint="cs"/>
          <w:b/>
          <w:bCs/>
          <w:sz w:val="24"/>
          <w:rtl/>
        </w:rPr>
        <w:t>,</w:t>
      </w:r>
      <w:r w:rsidRPr="0031396E">
        <w:rPr>
          <w:rFonts w:eastAsia="Calibri"/>
          <w:b/>
          <w:bCs/>
          <w:sz w:val="24"/>
          <w:rtl/>
        </w:rPr>
        <w:t xml:space="preserve"> פעל בחוסר תום לב וניסה לסכל </w:t>
      </w:r>
      <w:r w:rsidRPr="0031396E">
        <w:rPr>
          <w:rFonts w:eastAsia="Calibri" w:hint="cs"/>
          <w:b/>
          <w:bCs/>
          <w:sz w:val="24"/>
          <w:rtl/>
        </w:rPr>
        <w:t xml:space="preserve">את </w:t>
      </w:r>
      <w:r w:rsidRPr="0031396E">
        <w:rPr>
          <w:rFonts w:eastAsia="Calibri"/>
          <w:b/>
          <w:bCs/>
          <w:sz w:val="24"/>
          <w:rtl/>
        </w:rPr>
        <w:t>ההתארגנות</w:t>
      </w:r>
      <w:r>
        <w:rPr>
          <w:rFonts w:eastAsia="Calibri" w:hint="cs"/>
          <w:b/>
          <w:bCs/>
          <w:sz w:val="24"/>
          <w:rtl/>
        </w:rPr>
        <w:t>.</w:t>
      </w:r>
    </w:p>
    <w:p w:rsidR="000118BE" w:rsidRPr="0031396E" w:rsidRDefault="000118BE" w:rsidP="00A8553B">
      <w:pPr>
        <w:tabs>
          <w:tab w:val="left" w:pos="0"/>
        </w:tabs>
        <w:bidi/>
        <w:spacing w:line="360" w:lineRule="auto"/>
        <w:jc w:val="both"/>
        <w:rPr>
          <w:rFonts w:eastAsia="Calibri"/>
          <w:b/>
          <w:bCs/>
          <w:sz w:val="24"/>
          <w:rtl/>
        </w:rPr>
      </w:pPr>
      <w:r w:rsidRPr="0031396E">
        <w:rPr>
          <w:rFonts w:eastAsia="Calibri" w:hint="cs"/>
          <w:b/>
          <w:bCs/>
          <w:sz w:val="24"/>
          <w:rtl/>
        </w:rPr>
        <w:t>בית הדין דחה את טענות</w:t>
      </w:r>
      <w:r w:rsidRPr="0031396E">
        <w:rPr>
          <w:rFonts w:eastAsia="Calibri"/>
          <w:b/>
          <w:bCs/>
          <w:sz w:val="24"/>
        </w:rPr>
        <w:t xml:space="preserve">Ynet </w:t>
      </w:r>
      <w:r w:rsidRPr="0031396E">
        <w:rPr>
          <w:rFonts w:eastAsia="Calibri" w:hint="cs"/>
          <w:b/>
          <w:bCs/>
          <w:sz w:val="24"/>
          <w:rtl/>
        </w:rPr>
        <w:t xml:space="preserve">, בין השאר בדבר אי התקנת תקנון ובדבר פעילות לא דמוקרטית של הארגון והסביר, כי ארגון העיתונאים הינו אורגן מאורגניה של ההסתדרות הכללית. משכך, הוא דמוקרטי וחל עליו תקנון ההסתדרות. בית הדין פסק, כי יחידת המיקוח הנכונה ביותר עבור עובדי </w:t>
      </w:r>
      <w:r w:rsidRPr="0031396E">
        <w:rPr>
          <w:rFonts w:eastAsia="Calibri" w:hint="cs"/>
          <w:b/>
          <w:bCs/>
          <w:sz w:val="24"/>
        </w:rPr>
        <w:t>Y</w:t>
      </w:r>
      <w:r w:rsidRPr="0031396E">
        <w:rPr>
          <w:rFonts w:eastAsia="Calibri"/>
          <w:b/>
          <w:bCs/>
          <w:sz w:val="24"/>
        </w:rPr>
        <w:t>net</w:t>
      </w:r>
      <w:r w:rsidRPr="0031396E">
        <w:rPr>
          <w:rFonts w:eastAsia="Calibri" w:hint="cs"/>
          <w:b/>
          <w:bCs/>
          <w:sz w:val="24"/>
          <w:rtl/>
        </w:rPr>
        <w:t xml:space="preserve"> היא זו הכוללת את כל העובדים ואולם, בשלב ההתארגנות הראשונית שבו מצויה ההתארגנות, יש מקום להכיר - באופן זמני בלבד -בעיתונאים כיחידת מיקוח נפרדת כדי לאפשר את ההתארגנות.</w:t>
      </w:r>
    </w:p>
    <w:p w:rsidR="000118BE" w:rsidRPr="0031396E" w:rsidRDefault="000118BE" w:rsidP="008F590E">
      <w:pPr>
        <w:tabs>
          <w:tab w:val="left" w:pos="0"/>
        </w:tabs>
        <w:bidi/>
        <w:spacing w:line="360" w:lineRule="auto"/>
        <w:jc w:val="both"/>
        <w:rPr>
          <w:rFonts w:eastAsia="Calibri"/>
          <w:b/>
          <w:bCs/>
          <w:sz w:val="24"/>
          <w:rtl/>
        </w:rPr>
      </w:pPr>
      <w:r w:rsidRPr="0031396E">
        <w:rPr>
          <w:rFonts w:eastAsia="Calibri" w:hint="cs"/>
          <w:b/>
          <w:bCs/>
          <w:sz w:val="24"/>
          <w:rtl/>
        </w:rPr>
        <w:t xml:space="preserve">נפסק, כי ככל שבמהלך השנתיים הקרובות יצטרפו אל ההסתדרות שליש מקרב כלל עובדי </w:t>
      </w:r>
      <w:r w:rsidRPr="0031396E">
        <w:rPr>
          <w:rFonts w:eastAsia="Calibri" w:hint="cs"/>
          <w:b/>
          <w:bCs/>
          <w:sz w:val="24"/>
        </w:rPr>
        <w:t>Y</w:t>
      </w:r>
      <w:r w:rsidRPr="0031396E">
        <w:rPr>
          <w:rFonts w:eastAsia="Calibri"/>
          <w:b/>
          <w:bCs/>
          <w:sz w:val="24"/>
        </w:rPr>
        <w:t>net</w:t>
      </w:r>
      <w:r w:rsidRPr="0031396E">
        <w:rPr>
          <w:rFonts w:eastAsia="Calibri" w:hint="cs"/>
          <w:b/>
          <w:bCs/>
          <w:sz w:val="24"/>
          <w:rtl/>
        </w:rPr>
        <w:t xml:space="preserve">, אזי תפקע ההכרה ביחידת המיקוח הזמנית של העיתונאים, וכלל עובדי </w:t>
      </w:r>
      <w:r w:rsidRPr="0031396E">
        <w:rPr>
          <w:rFonts w:eastAsia="Calibri" w:hint="cs"/>
          <w:b/>
          <w:bCs/>
          <w:sz w:val="24"/>
        </w:rPr>
        <w:t>Y</w:t>
      </w:r>
      <w:r w:rsidRPr="0031396E">
        <w:rPr>
          <w:rFonts w:eastAsia="Calibri"/>
          <w:b/>
          <w:bCs/>
          <w:sz w:val="24"/>
        </w:rPr>
        <w:t>net</w:t>
      </w:r>
      <w:r w:rsidRPr="0031396E">
        <w:rPr>
          <w:rFonts w:eastAsia="Calibri" w:hint="cs"/>
          <w:b/>
          <w:bCs/>
          <w:sz w:val="24"/>
          <w:rtl/>
        </w:rPr>
        <w:t xml:space="preserve"> יהפכו ליחידת מיקוח כללית אחת. כמו כן נפסק, כי המועד הקובע לצורך בחינת טענת היציגות הינו המועד בו שלח הארגון ל </w:t>
      </w:r>
      <w:r w:rsidRPr="0031396E">
        <w:rPr>
          <w:rFonts w:eastAsia="Calibri" w:hint="cs"/>
          <w:b/>
          <w:bCs/>
          <w:sz w:val="24"/>
        </w:rPr>
        <w:t>Y</w:t>
      </w:r>
      <w:r w:rsidRPr="0031396E">
        <w:rPr>
          <w:rFonts w:eastAsia="Calibri"/>
          <w:b/>
          <w:bCs/>
          <w:sz w:val="24"/>
        </w:rPr>
        <w:t>net</w:t>
      </w:r>
      <w:r w:rsidRPr="0031396E">
        <w:rPr>
          <w:rFonts w:eastAsia="Calibri" w:hint="cs"/>
          <w:b/>
          <w:bCs/>
          <w:sz w:val="24"/>
          <w:rtl/>
        </w:rPr>
        <w:t xml:space="preserve"> את הודעת היציגות. בעניין פגמים שנפלו - לטענת </w:t>
      </w:r>
      <w:r w:rsidRPr="0031396E">
        <w:rPr>
          <w:rFonts w:eastAsia="Calibri"/>
          <w:b/>
          <w:bCs/>
          <w:sz w:val="24"/>
        </w:rPr>
        <w:t>Ynet</w:t>
      </w:r>
      <w:r w:rsidRPr="0031396E">
        <w:rPr>
          <w:rFonts w:eastAsia="Calibri" w:hint="cs"/>
          <w:b/>
          <w:bCs/>
          <w:sz w:val="24"/>
          <w:rtl/>
        </w:rPr>
        <w:t xml:space="preserve"> - בטפסים, נפסק כי גם אם נפלו פגמים בטפסים אין לפסול אותם באופן אוטומטי, אלא יש לבחון את הפגם לגופו של עניין, בשים לב לנסיבות המקרה הנדון.</w:t>
      </w:r>
      <w:r>
        <w:rPr>
          <w:rFonts w:eastAsia="Calibri" w:hint="cs"/>
          <w:b/>
          <w:bCs/>
          <w:sz w:val="24"/>
          <w:rtl/>
        </w:rPr>
        <w:t xml:space="preserve"> </w:t>
      </w:r>
      <w:r w:rsidRPr="0031396E">
        <w:rPr>
          <w:rFonts w:eastAsia="Calibri" w:hint="cs"/>
          <w:b/>
          <w:bCs/>
          <w:sz w:val="24"/>
          <w:rtl/>
        </w:rPr>
        <w:t xml:space="preserve">עוד פסק בית הדין, כי על </w:t>
      </w:r>
      <w:r w:rsidRPr="0031396E">
        <w:rPr>
          <w:rFonts w:eastAsia="Calibri" w:hint="cs"/>
          <w:b/>
          <w:bCs/>
          <w:sz w:val="24"/>
        </w:rPr>
        <w:t>Y</w:t>
      </w:r>
      <w:r w:rsidRPr="0031396E">
        <w:rPr>
          <w:rFonts w:eastAsia="Calibri"/>
          <w:b/>
          <w:bCs/>
          <w:sz w:val="24"/>
        </w:rPr>
        <w:t>net</w:t>
      </w:r>
      <w:r w:rsidRPr="0031396E">
        <w:rPr>
          <w:rFonts w:eastAsia="Calibri" w:hint="cs"/>
          <w:b/>
          <w:bCs/>
          <w:sz w:val="24"/>
          <w:rtl/>
        </w:rPr>
        <w:t xml:space="preserve"> לנהל משא ומתן קיבוצי עם ארגון העיתונאים שבהסתדרות על תנאי עבודת עיתונאי </w:t>
      </w:r>
      <w:r w:rsidRPr="0031396E">
        <w:rPr>
          <w:rFonts w:eastAsia="Calibri" w:hint="cs"/>
          <w:b/>
          <w:bCs/>
          <w:sz w:val="24"/>
        </w:rPr>
        <w:t>Y</w:t>
      </w:r>
      <w:r w:rsidRPr="0031396E">
        <w:rPr>
          <w:rFonts w:eastAsia="Calibri"/>
          <w:b/>
          <w:bCs/>
          <w:sz w:val="24"/>
        </w:rPr>
        <w:t>net</w:t>
      </w:r>
      <w:r w:rsidRPr="0031396E">
        <w:rPr>
          <w:rFonts w:eastAsia="Calibri" w:hint="cs"/>
          <w:b/>
          <w:bCs/>
          <w:sz w:val="24"/>
          <w:rtl/>
        </w:rPr>
        <w:t xml:space="preserve"> ועל שינויים ארגוניים צפויים, ככל שיהיו כאלה. </w:t>
      </w:r>
    </w:p>
    <w:p w:rsidR="000118BE" w:rsidRDefault="000118BE" w:rsidP="00A8553B">
      <w:pPr>
        <w:tabs>
          <w:tab w:val="left" w:pos="0"/>
        </w:tabs>
        <w:bidi/>
        <w:spacing w:line="360" w:lineRule="auto"/>
        <w:jc w:val="both"/>
        <w:rPr>
          <w:rFonts w:eastAsia="Calibri"/>
          <w:b/>
          <w:bCs/>
          <w:sz w:val="22"/>
          <w:szCs w:val="22"/>
          <w:rtl/>
        </w:rPr>
      </w:pPr>
      <w:r w:rsidRPr="0031396E">
        <w:rPr>
          <w:color w:val="000000"/>
          <w:sz w:val="22"/>
          <w:szCs w:val="22"/>
          <w:rtl/>
        </w:rPr>
        <w:t>ס</w:t>
      </w:r>
      <w:r w:rsidRPr="0031396E">
        <w:rPr>
          <w:rFonts w:hint="cs"/>
          <w:color w:val="000000"/>
          <w:sz w:val="22"/>
          <w:szCs w:val="22"/>
          <w:rtl/>
        </w:rPr>
        <w:t>ק</w:t>
      </w:r>
      <w:r w:rsidRPr="0031396E">
        <w:rPr>
          <w:color w:val="000000"/>
          <w:sz w:val="22"/>
          <w:szCs w:val="22"/>
          <w:rtl/>
        </w:rPr>
        <w:t xml:space="preserve"> (</w:t>
      </w:r>
      <w:r w:rsidRPr="0031396E">
        <w:rPr>
          <w:rFonts w:hint="cs"/>
          <w:color w:val="000000"/>
          <w:sz w:val="22"/>
          <w:szCs w:val="22"/>
          <w:rtl/>
        </w:rPr>
        <w:t>ת"א</w:t>
      </w:r>
      <w:r w:rsidRPr="0031396E">
        <w:rPr>
          <w:sz w:val="22"/>
          <w:szCs w:val="22"/>
          <w:rtl/>
        </w:rPr>
        <w:t xml:space="preserve">) </w:t>
      </w:r>
      <w:r w:rsidRPr="0031396E">
        <w:rPr>
          <w:rFonts w:hint="cs"/>
          <w:sz w:val="22"/>
          <w:szCs w:val="22"/>
          <w:rtl/>
        </w:rPr>
        <w:t>44297-08-13</w:t>
      </w:r>
      <w:r w:rsidRPr="0031396E">
        <w:rPr>
          <w:rFonts w:hint="cs"/>
          <w:color w:val="FF0000"/>
          <w:sz w:val="22"/>
          <w:szCs w:val="22"/>
          <w:rtl/>
        </w:rPr>
        <w:t xml:space="preserve"> </w:t>
      </w:r>
      <w:r w:rsidRPr="0031396E">
        <w:rPr>
          <w:color w:val="FF0000"/>
          <w:sz w:val="22"/>
          <w:szCs w:val="22"/>
        </w:rPr>
        <w:t>●</w:t>
      </w:r>
      <w:r w:rsidRPr="0031396E">
        <w:rPr>
          <w:rFonts w:hint="cs"/>
          <w:b/>
          <w:bCs/>
          <w:color w:val="FF0000"/>
          <w:sz w:val="22"/>
          <w:szCs w:val="22"/>
          <w:rtl/>
        </w:rPr>
        <w:t xml:space="preserve"> </w:t>
      </w:r>
      <w:r w:rsidRPr="0031396E">
        <w:rPr>
          <w:rFonts w:hint="cs"/>
          <w:b/>
          <w:bCs/>
          <w:sz w:val="22"/>
          <w:szCs w:val="22"/>
          <w:rtl/>
        </w:rPr>
        <w:t>הסתדרות העובדים הכללית החדשה - ארגון העיתונאים בישראל נ' ידיעות אינטרנט בע"מ</w:t>
      </w:r>
      <w:r w:rsidRPr="0031396E">
        <w:rPr>
          <w:rFonts w:hint="cs"/>
          <w:sz w:val="22"/>
          <w:szCs w:val="22"/>
          <w:rtl/>
        </w:rPr>
        <w:t xml:space="preserve"> (14.10.13) </w:t>
      </w:r>
      <w:r w:rsidRPr="0031396E">
        <w:rPr>
          <w:sz w:val="22"/>
          <w:szCs w:val="22"/>
        </w:rPr>
        <w:t xml:space="preserve"> </w:t>
      </w:r>
      <w:r w:rsidRPr="0031396E">
        <w:rPr>
          <w:color w:val="FF0000"/>
          <w:sz w:val="22"/>
          <w:szCs w:val="22"/>
        </w:rPr>
        <w:t>●</w:t>
      </w:r>
      <w:r w:rsidRPr="0031396E">
        <w:rPr>
          <w:rFonts w:hint="cs"/>
          <w:sz w:val="22"/>
          <w:szCs w:val="22"/>
          <w:rtl/>
        </w:rPr>
        <w:t xml:space="preserve">בפני כבוד השופט דורי ספיבק, נ.ע. גב' </w:t>
      </w:r>
      <w:smartTag w:uri="urn:schemas-microsoft-com:office:smarttags" w:element="PersonName">
        <w:smartTagPr>
          <w:attr w:name="ProductID" w:val="עדנה גרוס"/>
        </w:smartTagPr>
        <w:r w:rsidRPr="0031396E">
          <w:rPr>
            <w:rFonts w:hint="cs"/>
            <w:sz w:val="22"/>
            <w:szCs w:val="22"/>
            <w:rtl/>
          </w:rPr>
          <w:t>עדנה גרוס</w:t>
        </w:r>
      </w:smartTag>
      <w:r w:rsidRPr="0031396E">
        <w:rPr>
          <w:rFonts w:hint="cs"/>
          <w:sz w:val="22"/>
          <w:szCs w:val="22"/>
          <w:rtl/>
        </w:rPr>
        <w:t>, נ.מ. מר רן ורדי</w:t>
      </w:r>
    </w:p>
    <w:p w:rsidR="000118BE" w:rsidRDefault="000118BE" w:rsidP="008F590E">
      <w:pPr>
        <w:tabs>
          <w:tab w:val="left" w:pos="0"/>
        </w:tabs>
        <w:bidi/>
        <w:jc w:val="both"/>
        <w:rPr>
          <w:rFonts w:eastAsia="Calibri"/>
          <w:b/>
          <w:bCs/>
          <w:sz w:val="22"/>
          <w:szCs w:val="22"/>
          <w:rtl/>
        </w:rPr>
      </w:pPr>
    </w:p>
    <w:p w:rsidR="001A3FF2" w:rsidRDefault="001A3FF2" w:rsidP="001A3FF2">
      <w:pPr>
        <w:tabs>
          <w:tab w:val="left" w:pos="0"/>
        </w:tabs>
        <w:bidi/>
        <w:jc w:val="both"/>
        <w:rPr>
          <w:rFonts w:eastAsia="Calibri"/>
          <w:b/>
          <w:bCs/>
          <w:sz w:val="22"/>
          <w:szCs w:val="22"/>
          <w:rtl/>
        </w:rPr>
      </w:pPr>
    </w:p>
    <w:p w:rsidR="001A3FF2" w:rsidRDefault="001A3FF2" w:rsidP="001A3FF2">
      <w:pPr>
        <w:tabs>
          <w:tab w:val="left" w:pos="0"/>
        </w:tabs>
        <w:bidi/>
        <w:jc w:val="both"/>
        <w:rPr>
          <w:rFonts w:eastAsia="Calibri"/>
          <w:b/>
          <w:bCs/>
          <w:sz w:val="22"/>
          <w:szCs w:val="22"/>
          <w:rtl/>
        </w:rPr>
      </w:pPr>
    </w:p>
    <w:p w:rsidR="001A3FF2" w:rsidRDefault="001A3FF2" w:rsidP="001A3FF2">
      <w:pPr>
        <w:tabs>
          <w:tab w:val="left" w:pos="0"/>
        </w:tabs>
        <w:bidi/>
        <w:jc w:val="both"/>
        <w:rPr>
          <w:rFonts w:eastAsia="Calibri"/>
          <w:b/>
          <w:bCs/>
          <w:sz w:val="22"/>
          <w:szCs w:val="22"/>
          <w:rtl/>
        </w:rPr>
      </w:pPr>
    </w:p>
    <w:p w:rsidR="001A3FF2" w:rsidRDefault="001A3FF2" w:rsidP="001A3FF2">
      <w:pPr>
        <w:tabs>
          <w:tab w:val="left" w:pos="0"/>
        </w:tabs>
        <w:bidi/>
        <w:jc w:val="both"/>
        <w:rPr>
          <w:rFonts w:eastAsia="Calibri"/>
          <w:b/>
          <w:bCs/>
          <w:sz w:val="22"/>
          <w:szCs w:val="22"/>
          <w:rtl/>
        </w:rPr>
      </w:pPr>
    </w:p>
    <w:p w:rsidR="001A3FF2" w:rsidRDefault="001A3FF2" w:rsidP="001A3FF2">
      <w:pPr>
        <w:tabs>
          <w:tab w:val="left" w:pos="0"/>
        </w:tabs>
        <w:bidi/>
        <w:jc w:val="both"/>
        <w:rPr>
          <w:rFonts w:eastAsia="Calibri"/>
          <w:b/>
          <w:bCs/>
          <w:sz w:val="22"/>
          <w:szCs w:val="22"/>
          <w:rtl/>
        </w:rPr>
      </w:pPr>
    </w:p>
    <w:p w:rsidR="001A3FF2" w:rsidRDefault="001A3FF2" w:rsidP="001A3FF2">
      <w:pPr>
        <w:tabs>
          <w:tab w:val="left" w:pos="0"/>
        </w:tabs>
        <w:bidi/>
        <w:jc w:val="both"/>
        <w:rPr>
          <w:rFonts w:eastAsia="Calibri"/>
          <w:b/>
          <w:bCs/>
          <w:sz w:val="22"/>
          <w:szCs w:val="22"/>
          <w:rtl/>
        </w:rPr>
      </w:pPr>
    </w:p>
    <w:p w:rsidR="001A3FF2" w:rsidRDefault="001A3FF2" w:rsidP="001A3FF2">
      <w:pPr>
        <w:tabs>
          <w:tab w:val="left" w:pos="0"/>
        </w:tabs>
        <w:bidi/>
        <w:jc w:val="both"/>
        <w:rPr>
          <w:rFonts w:eastAsia="Calibri"/>
          <w:b/>
          <w:bCs/>
          <w:sz w:val="22"/>
          <w:szCs w:val="22"/>
          <w:rtl/>
        </w:rPr>
      </w:pPr>
    </w:p>
    <w:p w:rsidR="001A3FF2" w:rsidRDefault="001A3FF2" w:rsidP="001A3FF2">
      <w:pPr>
        <w:tabs>
          <w:tab w:val="left" w:pos="0"/>
        </w:tabs>
        <w:bidi/>
        <w:jc w:val="both"/>
        <w:rPr>
          <w:rFonts w:eastAsia="Calibri"/>
          <w:b/>
          <w:bCs/>
          <w:sz w:val="22"/>
          <w:szCs w:val="22"/>
          <w:rtl/>
        </w:rPr>
      </w:pPr>
    </w:p>
    <w:p w:rsidR="001A3FF2" w:rsidRDefault="001A3FF2" w:rsidP="001A3FF2">
      <w:pPr>
        <w:tabs>
          <w:tab w:val="left" w:pos="0"/>
        </w:tabs>
        <w:bidi/>
        <w:jc w:val="both"/>
        <w:rPr>
          <w:rFonts w:eastAsia="Calibri"/>
          <w:b/>
          <w:bCs/>
          <w:sz w:val="22"/>
          <w:szCs w:val="22"/>
          <w:rtl/>
        </w:rPr>
      </w:pPr>
    </w:p>
    <w:p w:rsidR="001A3FF2" w:rsidRDefault="001A3FF2" w:rsidP="001A3FF2">
      <w:pPr>
        <w:tabs>
          <w:tab w:val="left" w:pos="0"/>
        </w:tabs>
        <w:bidi/>
        <w:jc w:val="both"/>
        <w:rPr>
          <w:rFonts w:eastAsia="Calibri"/>
          <w:b/>
          <w:bCs/>
          <w:sz w:val="22"/>
          <w:szCs w:val="22"/>
          <w:rtl/>
        </w:rPr>
      </w:pPr>
    </w:p>
    <w:p w:rsidR="001A3FF2" w:rsidRDefault="001A3FF2" w:rsidP="001A3FF2">
      <w:pPr>
        <w:tabs>
          <w:tab w:val="left" w:pos="0"/>
        </w:tabs>
        <w:bidi/>
        <w:jc w:val="both"/>
        <w:rPr>
          <w:rFonts w:eastAsia="Calibri"/>
          <w:b/>
          <w:bCs/>
          <w:sz w:val="22"/>
          <w:szCs w:val="22"/>
          <w:rtl/>
        </w:rPr>
      </w:pPr>
    </w:p>
    <w:p w:rsidR="001A3FF2" w:rsidRDefault="001A3FF2" w:rsidP="001A3FF2">
      <w:pPr>
        <w:tabs>
          <w:tab w:val="left" w:pos="0"/>
        </w:tabs>
        <w:bidi/>
        <w:jc w:val="both"/>
        <w:rPr>
          <w:rFonts w:eastAsia="Calibri"/>
          <w:b/>
          <w:bCs/>
          <w:sz w:val="22"/>
          <w:szCs w:val="22"/>
          <w:rtl/>
        </w:rPr>
      </w:pPr>
    </w:p>
    <w:p w:rsidR="001A3FF2" w:rsidRDefault="001A3FF2" w:rsidP="001A3FF2">
      <w:pPr>
        <w:tabs>
          <w:tab w:val="left" w:pos="0"/>
        </w:tabs>
        <w:bidi/>
        <w:jc w:val="both"/>
        <w:rPr>
          <w:rFonts w:eastAsia="Calibri"/>
          <w:b/>
          <w:bCs/>
          <w:sz w:val="22"/>
          <w:szCs w:val="22"/>
          <w:rtl/>
        </w:rPr>
      </w:pPr>
    </w:p>
    <w:p w:rsidR="00F01336" w:rsidRPr="00FF211E" w:rsidRDefault="00F01336" w:rsidP="00F01336">
      <w:pPr>
        <w:numPr>
          <w:ilvl w:val="0"/>
          <w:numId w:val="19"/>
        </w:numPr>
        <w:tabs>
          <w:tab w:val="left" w:pos="-316"/>
        </w:tabs>
        <w:bidi/>
        <w:spacing w:line="360" w:lineRule="auto"/>
        <w:ind w:right="0" w:hanging="612"/>
        <w:jc w:val="both"/>
        <w:rPr>
          <w:rFonts w:ascii="Arial" w:hAnsi="Arial"/>
          <w:b/>
          <w:bCs/>
          <w:color w:val="0000FF"/>
          <w:sz w:val="24"/>
          <w:u w:val="single"/>
          <w:rtl/>
        </w:rPr>
      </w:pPr>
      <w:r w:rsidRPr="00FF211E">
        <w:rPr>
          <w:rFonts w:ascii="Arial" w:hAnsi="Arial" w:hint="cs"/>
          <w:b/>
          <w:bCs/>
          <w:color w:val="0000FF"/>
          <w:sz w:val="24"/>
          <w:u w:val="single"/>
          <w:rtl/>
        </w:rPr>
        <w:lastRenderedPageBreak/>
        <w:t>תקדים- עובדי מדינה בחוזים אישיים אינם יחידת מיקוח נפרדת וארגונם אינו יציג</w:t>
      </w:r>
    </w:p>
    <w:p w:rsidR="00F01336" w:rsidRDefault="00F01336" w:rsidP="008F590E">
      <w:pPr>
        <w:tabs>
          <w:tab w:val="left" w:pos="0"/>
        </w:tabs>
        <w:bidi/>
        <w:jc w:val="both"/>
        <w:rPr>
          <w:rFonts w:eastAsia="Calibri"/>
          <w:b/>
          <w:bCs/>
          <w:sz w:val="24"/>
          <w:rtl/>
        </w:rPr>
      </w:pPr>
    </w:p>
    <w:p w:rsidR="00F01336" w:rsidRDefault="00F01336" w:rsidP="00F01336">
      <w:pPr>
        <w:tabs>
          <w:tab w:val="left" w:pos="0"/>
        </w:tabs>
        <w:bidi/>
        <w:spacing w:line="360" w:lineRule="auto"/>
        <w:jc w:val="both"/>
        <w:rPr>
          <w:rFonts w:eastAsia="Calibri"/>
          <w:b/>
          <w:bCs/>
          <w:sz w:val="24"/>
          <w:rtl/>
        </w:rPr>
      </w:pPr>
      <w:r w:rsidRPr="00F01336">
        <w:rPr>
          <w:rFonts w:eastAsia="Calibri" w:hint="cs"/>
          <w:b/>
          <w:bCs/>
          <w:sz w:val="24"/>
          <w:rtl/>
        </w:rPr>
        <w:t>במסגרת בקשת צד בסכסוך קיבוצי, עתר ארגון אחדות לבית הדין האזורי לעבודה, נגד המדינה, לצורך הכרה בעובדי מדינה המועסקים בחוזים אישיים כיחידת מיקוח נפרדת, ובארגון אחדות כארגון היציג שלה. נטען, כי מאחר ובין המדינה להסתדרות הכללית נחתמו הסכמים קיבוציים בשירות המדינה אשר מצוין בהם כי אינם חלים על עובדים בחוזים אישיים, ומאחר והעסקת עובדים בשירות הציבורי בחוזים אישיים הולכת וגדלה, ולא ניתנת להם הגנה ארגונית, יש לאפשר לעובדים אלה לפעול התאגדות נפרדת במסגרת ארגון עובדים, תוך הקמת ארגון אחדות. בית הדין הארצי הפך את החלטת בית הדין האזורי וקבע:</w:t>
      </w:r>
    </w:p>
    <w:p w:rsidR="00F01336" w:rsidRDefault="00F01336" w:rsidP="004F692C">
      <w:pPr>
        <w:pStyle w:val="af7"/>
        <w:numPr>
          <w:ilvl w:val="0"/>
          <w:numId w:val="50"/>
        </w:numPr>
        <w:tabs>
          <w:tab w:val="left" w:pos="0"/>
        </w:tabs>
        <w:bidi/>
        <w:spacing w:line="360" w:lineRule="auto"/>
        <w:jc w:val="both"/>
        <w:rPr>
          <w:rFonts w:eastAsia="Calibri"/>
          <w:b/>
          <w:bCs/>
          <w:sz w:val="24"/>
        </w:rPr>
      </w:pPr>
      <w:r w:rsidRPr="00F01336">
        <w:rPr>
          <w:rFonts w:eastAsia="Calibri" w:hint="cs"/>
          <w:b/>
          <w:bCs/>
          <w:sz w:val="24"/>
          <w:rtl/>
        </w:rPr>
        <w:t>בקשת הצד שהגיש ארגון אחדות נגד המדינה על פי מהותה, איננה סכסוך קיבוצי, אלא בקשה לסכסוך בין ארגוני בין אחדות לבין ההסתדרות. לכן, הסמכות הייחודית לדון בו נתונה לבית הדין הארצי ולא הייתה סמכות לבית הדין האזורי להכריע בסכסוך.</w:t>
      </w:r>
    </w:p>
    <w:p w:rsidR="00F01336" w:rsidRDefault="00F01336" w:rsidP="004F692C">
      <w:pPr>
        <w:pStyle w:val="af7"/>
        <w:numPr>
          <w:ilvl w:val="0"/>
          <w:numId w:val="50"/>
        </w:numPr>
        <w:tabs>
          <w:tab w:val="left" w:pos="0"/>
        </w:tabs>
        <w:bidi/>
        <w:spacing w:line="360" w:lineRule="auto"/>
        <w:jc w:val="both"/>
        <w:rPr>
          <w:rFonts w:eastAsia="Calibri"/>
          <w:b/>
          <w:bCs/>
          <w:sz w:val="24"/>
        </w:rPr>
      </w:pPr>
      <w:r w:rsidRPr="00F01336">
        <w:rPr>
          <w:rFonts w:eastAsia="Calibri" w:hint="cs"/>
          <w:b/>
          <w:bCs/>
          <w:sz w:val="24"/>
          <w:rtl/>
        </w:rPr>
        <w:t>מדובר בקבוצת עובדים רחבה מאוד, שאינה מבטאת אינטרס משותף מלבד היותם של  העובדים מועסקים בחוזים אישיים. עצם קיומם של עובדים בחוזים אישיים, אין בה כדי לשנות את גבולות יחידת המיקוח הקיימת של כלל העובדים בשירות המדינה, אש</w:t>
      </w:r>
      <w:r>
        <w:rPr>
          <w:rFonts w:eastAsia="Calibri" w:hint="cs"/>
          <w:b/>
          <w:bCs/>
          <w:sz w:val="24"/>
          <w:rtl/>
        </w:rPr>
        <w:t>ר הארגון היציג בה הוא ההסתדרות.</w:t>
      </w:r>
    </w:p>
    <w:p w:rsidR="00F01336" w:rsidRPr="00F01336" w:rsidRDefault="00F01336" w:rsidP="004F692C">
      <w:pPr>
        <w:pStyle w:val="af7"/>
        <w:numPr>
          <w:ilvl w:val="0"/>
          <w:numId w:val="50"/>
        </w:numPr>
        <w:tabs>
          <w:tab w:val="left" w:pos="0"/>
        </w:tabs>
        <w:bidi/>
        <w:spacing w:line="360" w:lineRule="auto"/>
        <w:jc w:val="both"/>
        <w:rPr>
          <w:rFonts w:eastAsia="Calibri"/>
          <w:b/>
          <w:bCs/>
          <w:sz w:val="24"/>
          <w:rtl/>
        </w:rPr>
      </w:pPr>
      <w:r w:rsidRPr="00F01336">
        <w:rPr>
          <w:rFonts w:eastAsia="Calibri" w:hint="cs"/>
          <w:b/>
          <w:bCs/>
          <w:sz w:val="24"/>
          <w:rtl/>
        </w:rPr>
        <w:t>ארגון אחדות איננו ארגון עובדים ולכן גם איננו ארגון יציג. על פי המבחנים שנקבעו בבג"צ עמית, ארגון אחדות איננו ממלא אחר התנאים הבסיסיים להכרה בו כארגון עובדים על פי חוק הסכמים קיבוציים. יש לראותו כארגון מיעוט של קבוצת עובדים מאורגנת בשירות המדינה, בעל סמכויות מוגבלות לייצג רק את חבריו במסגרת ההסתדרות הכללית, ולא מול המדינה כמעסיק. אין באפשרותו לייצג עובדים ביחידת המיקוח הכוללת במדינה, או לנהל משא ומתן משלו לקראת חתימה על הסכם קיבוצי עם המדינה.</w:t>
      </w:r>
    </w:p>
    <w:p w:rsidR="00F01336" w:rsidRDefault="00F01336" w:rsidP="00F01336">
      <w:pPr>
        <w:tabs>
          <w:tab w:val="left" w:pos="0"/>
        </w:tabs>
        <w:bidi/>
        <w:spacing w:line="360" w:lineRule="auto"/>
        <w:jc w:val="both"/>
        <w:rPr>
          <w:b/>
          <w:bCs/>
          <w:sz w:val="22"/>
          <w:szCs w:val="22"/>
          <w:rtl/>
        </w:rPr>
      </w:pPr>
      <w:r w:rsidRPr="00F01336">
        <w:rPr>
          <w:rFonts w:hint="cs"/>
          <w:sz w:val="22"/>
          <w:szCs w:val="22"/>
          <w:rtl/>
        </w:rPr>
        <w:t xml:space="preserve">עס"ק  (ארצי) 26445-09-13 </w:t>
      </w:r>
      <w:r w:rsidRPr="00F01336">
        <w:rPr>
          <w:color w:val="FF0000"/>
          <w:sz w:val="22"/>
          <w:szCs w:val="22"/>
        </w:rPr>
        <w:t>●</w:t>
      </w:r>
      <w:r w:rsidRPr="00F01336">
        <w:rPr>
          <w:rFonts w:hint="cs"/>
          <w:b/>
          <w:bCs/>
          <w:color w:val="FF0000"/>
          <w:sz w:val="22"/>
          <w:szCs w:val="22"/>
          <w:rtl/>
        </w:rPr>
        <w:t xml:space="preserve"> </w:t>
      </w:r>
      <w:r w:rsidRPr="00F01336">
        <w:rPr>
          <w:rFonts w:hint="cs"/>
          <w:b/>
          <w:bCs/>
          <w:sz w:val="22"/>
          <w:szCs w:val="22"/>
          <w:rtl/>
        </w:rPr>
        <w:t xml:space="preserve">הסתדרות העובדים הכללית החדשה נ' מדינת ישראל ואח' </w:t>
      </w:r>
      <w:r w:rsidRPr="00F01336">
        <w:rPr>
          <w:rFonts w:hint="cs"/>
          <w:sz w:val="22"/>
          <w:szCs w:val="22"/>
          <w:rtl/>
        </w:rPr>
        <w:t xml:space="preserve">(26.4.2014) </w:t>
      </w:r>
      <w:r w:rsidRPr="00F01336">
        <w:rPr>
          <w:sz w:val="22"/>
          <w:szCs w:val="22"/>
        </w:rPr>
        <w:t xml:space="preserve"> </w:t>
      </w:r>
      <w:r w:rsidRPr="00F01336">
        <w:rPr>
          <w:color w:val="FF0000"/>
          <w:sz w:val="22"/>
          <w:szCs w:val="22"/>
        </w:rPr>
        <w:t>●</w:t>
      </w:r>
      <w:r w:rsidRPr="00F01336">
        <w:rPr>
          <w:rFonts w:hint="cs"/>
          <w:color w:val="FF0000"/>
          <w:sz w:val="22"/>
          <w:szCs w:val="22"/>
          <w:rtl/>
        </w:rPr>
        <w:t xml:space="preserve"> </w:t>
      </w:r>
      <w:r w:rsidRPr="00F01336">
        <w:rPr>
          <w:rFonts w:hint="cs"/>
          <w:sz w:val="22"/>
          <w:szCs w:val="22"/>
          <w:rtl/>
        </w:rPr>
        <w:t>בפני כבוד הנשיא יגאל פליטמן, כבוד השופט עמירם רבינוביץ, כבוד השופטת לאה גליקסמן, נציג ציבור (עובדים) מר ישראל דורון, נציג ציבור (מעבידים) מר יצחק דויטש.</w:t>
      </w:r>
    </w:p>
    <w:p w:rsidR="001A3FF2" w:rsidRPr="00F01336" w:rsidRDefault="001A3FF2" w:rsidP="001A3FF2">
      <w:pPr>
        <w:tabs>
          <w:tab w:val="left" w:pos="0"/>
        </w:tabs>
        <w:bidi/>
        <w:spacing w:line="360" w:lineRule="auto"/>
        <w:jc w:val="both"/>
        <w:rPr>
          <w:b/>
          <w:bCs/>
          <w:sz w:val="22"/>
          <w:szCs w:val="22"/>
          <w:rtl/>
        </w:rPr>
      </w:pPr>
    </w:p>
    <w:p w:rsidR="000118BE" w:rsidRPr="00FF211E" w:rsidRDefault="000118BE" w:rsidP="00A8553B">
      <w:pPr>
        <w:numPr>
          <w:ilvl w:val="0"/>
          <w:numId w:val="19"/>
        </w:numPr>
        <w:tabs>
          <w:tab w:val="left" w:pos="-316"/>
        </w:tabs>
        <w:bidi/>
        <w:spacing w:line="360" w:lineRule="auto"/>
        <w:ind w:right="0" w:hanging="612"/>
        <w:jc w:val="both"/>
        <w:rPr>
          <w:rFonts w:ascii="Arial" w:hAnsi="Arial"/>
          <w:b/>
          <w:bCs/>
          <w:color w:val="0000FF"/>
          <w:sz w:val="24"/>
          <w:u w:val="single"/>
        </w:rPr>
      </w:pPr>
      <w:r w:rsidRPr="00FF211E">
        <w:rPr>
          <w:rFonts w:ascii="Arial" w:hAnsi="Arial" w:hint="cs"/>
          <w:b/>
          <w:bCs/>
          <w:color w:val="0000FF"/>
          <w:sz w:val="24"/>
          <w:u w:val="single"/>
          <w:rtl/>
        </w:rPr>
        <w:t>תקדים: כללי תחרות בין ארגוני עובדים על יציגות לעניין הסכם קיבוצי מיוחד</w:t>
      </w:r>
    </w:p>
    <w:p w:rsidR="000118BE" w:rsidRPr="008F590E" w:rsidRDefault="000118BE" w:rsidP="008F590E">
      <w:pPr>
        <w:tabs>
          <w:tab w:val="left" w:pos="62"/>
          <w:tab w:val="left" w:pos="90"/>
        </w:tabs>
        <w:bidi/>
        <w:ind w:left="397" w:right="-180" w:hanging="397"/>
        <w:jc w:val="both"/>
        <w:rPr>
          <w:rFonts w:eastAsia="Calibri"/>
          <w:sz w:val="24"/>
          <w:rtl/>
        </w:rPr>
      </w:pPr>
    </w:p>
    <w:p w:rsidR="000118BE" w:rsidRPr="00A50717" w:rsidRDefault="000118BE" w:rsidP="00A8553B">
      <w:pPr>
        <w:tabs>
          <w:tab w:val="left" w:pos="0"/>
        </w:tabs>
        <w:bidi/>
        <w:spacing w:line="360" w:lineRule="auto"/>
        <w:jc w:val="both"/>
        <w:rPr>
          <w:rFonts w:eastAsia="Calibri"/>
          <w:b/>
          <w:bCs/>
          <w:sz w:val="24"/>
          <w:rtl/>
        </w:rPr>
      </w:pPr>
      <w:r w:rsidRPr="00A50717">
        <w:rPr>
          <w:rFonts w:eastAsia="Calibri" w:hint="cs"/>
          <w:b/>
          <w:bCs/>
          <w:sz w:val="24"/>
          <w:rtl/>
        </w:rPr>
        <w:t xml:space="preserve">לאור </w:t>
      </w:r>
      <w:r w:rsidRPr="00A50717">
        <w:rPr>
          <w:rFonts w:eastAsia="Calibri"/>
          <w:b/>
          <w:bCs/>
          <w:sz w:val="24"/>
          <w:rtl/>
        </w:rPr>
        <w:t>ה"רנסאנס" בהתארגנות עובדים בישראל והתרחבותה</w:t>
      </w:r>
      <w:r w:rsidRPr="00A50717">
        <w:rPr>
          <w:rFonts w:eastAsia="Calibri" w:hint="cs"/>
          <w:b/>
          <w:bCs/>
          <w:sz w:val="24"/>
          <w:rtl/>
        </w:rPr>
        <w:t xml:space="preserve"> ונוכח חשיבות הנושא נעתר בית הדין לבקשת ההסתדרות הכללית והסתדרות העובדים הלאומית, כי </w:t>
      </w:r>
      <w:r w:rsidRPr="00A50717">
        <w:rPr>
          <w:rFonts w:eastAsia="Calibri"/>
          <w:b/>
          <w:bCs/>
          <w:sz w:val="24"/>
          <w:rtl/>
        </w:rPr>
        <w:t xml:space="preserve">במסגרת </w:t>
      </w:r>
      <w:r w:rsidRPr="00A50717">
        <w:rPr>
          <w:rFonts w:eastAsia="Calibri" w:hint="cs"/>
          <w:b/>
          <w:bCs/>
          <w:sz w:val="24"/>
          <w:rtl/>
        </w:rPr>
        <w:t>ההכרעה</w:t>
      </w:r>
      <w:r w:rsidRPr="00A50717">
        <w:rPr>
          <w:rFonts w:eastAsia="Calibri"/>
          <w:b/>
          <w:bCs/>
          <w:sz w:val="24"/>
          <w:rtl/>
        </w:rPr>
        <w:t xml:space="preserve"> במחלוקת ביניהם על היציגות </w:t>
      </w:r>
      <w:r w:rsidRPr="00A50717">
        <w:rPr>
          <w:rFonts w:eastAsia="Calibri" w:hint="cs"/>
          <w:b/>
          <w:bCs/>
          <w:sz w:val="24"/>
          <w:rtl/>
        </w:rPr>
        <w:t>במועצה אזורית אל בטוף יקבעו</w:t>
      </w:r>
      <w:r w:rsidRPr="00A50717">
        <w:rPr>
          <w:rFonts w:eastAsia="Calibri"/>
          <w:b/>
          <w:bCs/>
          <w:sz w:val="24"/>
          <w:rtl/>
        </w:rPr>
        <w:t xml:space="preserve"> כללים </w:t>
      </w:r>
      <w:r w:rsidRPr="00A50717">
        <w:rPr>
          <w:rFonts w:eastAsia="Calibri" w:hint="cs"/>
          <w:b/>
          <w:bCs/>
          <w:sz w:val="24"/>
          <w:rtl/>
        </w:rPr>
        <w:t xml:space="preserve">הלכתיים </w:t>
      </w:r>
      <w:r w:rsidRPr="00A50717">
        <w:rPr>
          <w:rFonts w:eastAsia="Calibri"/>
          <w:b/>
          <w:bCs/>
          <w:sz w:val="24"/>
          <w:rtl/>
        </w:rPr>
        <w:t>ברורים לה</w:t>
      </w:r>
      <w:r w:rsidRPr="00A50717">
        <w:rPr>
          <w:rFonts w:eastAsia="Calibri" w:hint="cs"/>
          <w:b/>
          <w:bCs/>
          <w:sz w:val="24"/>
          <w:rtl/>
        </w:rPr>
        <w:t xml:space="preserve">תמודדות </w:t>
      </w:r>
      <w:r w:rsidRPr="00A50717">
        <w:rPr>
          <w:rFonts w:eastAsia="Calibri"/>
          <w:b/>
          <w:bCs/>
          <w:sz w:val="24"/>
          <w:rtl/>
        </w:rPr>
        <w:t>בין-ארגונית בעת חילופי יציגות</w:t>
      </w:r>
      <w:r w:rsidRPr="00A50717">
        <w:rPr>
          <w:rFonts w:eastAsia="Calibri" w:hint="cs"/>
          <w:b/>
          <w:bCs/>
          <w:sz w:val="24"/>
          <w:rtl/>
        </w:rPr>
        <w:t>.</w:t>
      </w:r>
    </w:p>
    <w:p w:rsidR="000118BE" w:rsidRPr="00A50717" w:rsidRDefault="000118BE" w:rsidP="00A8553B">
      <w:pPr>
        <w:pStyle w:val="27"/>
        <w:numPr>
          <w:ilvl w:val="0"/>
          <w:numId w:val="36"/>
        </w:numPr>
        <w:tabs>
          <w:tab w:val="left" w:pos="1134"/>
          <w:tab w:val="left" w:pos="1701"/>
        </w:tabs>
        <w:spacing w:after="0" w:line="360" w:lineRule="auto"/>
        <w:jc w:val="both"/>
        <w:rPr>
          <w:rFonts w:ascii="Times New Roman" w:eastAsia="Calibri" w:hAnsi="Times New Roman" w:cs="David"/>
          <w:b/>
          <w:bCs/>
          <w:sz w:val="24"/>
          <w:szCs w:val="24"/>
        </w:rPr>
      </w:pPr>
      <w:r w:rsidRPr="00A50717">
        <w:rPr>
          <w:rFonts w:ascii="Times New Roman" w:eastAsia="Calibri" w:hAnsi="Times New Roman" w:cs="David" w:hint="cs"/>
          <w:b/>
          <w:bCs/>
          <w:sz w:val="24"/>
          <w:szCs w:val="24"/>
          <w:rtl/>
        </w:rPr>
        <w:t xml:space="preserve">על פי החוק, </w:t>
      </w:r>
      <w:r w:rsidRPr="00A50717">
        <w:rPr>
          <w:rFonts w:ascii="Times New Roman" w:eastAsia="Calibri" w:hAnsi="Times New Roman" w:cs="David"/>
          <w:b/>
          <w:bCs/>
          <w:sz w:val="24"/>
          <w:szCs w:val="24"/>
          <w:rtl/>
        </w:rPr>
        <w:t>ארגון עובדים יציג במקום העבודה לעניין הסכם קיבוצי מיוחד, הוא ארגון העובדים שעם חבריו נמנה המספר הגדול ביותר של עובדים מאורגנים שעליהם יחול ההסכם הקיבוצי המיוחד, ובלבד שמספר העובדים המאורגנים החברים בו אינו פחות משליש כלל העובדים שעליהם יחול ההסכם. בהתמודדות בינארגונית, יחולו שני התנאים הללו במצטבר</w:t>
      </w:r>
      <w:r w:rsidRPr="00A50717">
        <w:rPr>
          <w:rFonts w:ascii="Times New Roman" w:eastAsia="Calibri" w:hAnsi="Times New Roman" w:cs="David" w:hint="cs"/>
          <w:b/>
          <w:bCs/>
          <w:sz w:val="24"/>
          <w:szCs w:val="24"/>
          <w:rtl/>
        </w:rPr>
        <w:t>.</w:t>
      </w:r>
    </w:p>
    <w:p w:rsidR="000118BE" w:rsidRPr="00A50717" w:rsidRDefault="000118BE" w:rsidP="00A8553B">
      <w:pPr>
        <w:pStyle w:val="27"/>
        <w:numPr>
          <w:ilvl w:val="0"/>
          <w:numId w:val="36"/>
        </w:numPr>
        <w:tabs>
          <w:tab w:val="left" w:pos="1134"/>
          <w:tab w:val="left" w:pos="1701"/>
        </w:tabs>
        <w:spacing w:after="0" w:line="360" w:lineRule="auto"/>
        <w:jc w:val="both"/>
        <w:rPr>
          <w:rFonts w:ascii="Times New Roman" w:eastAsia="Calibri" w:hAnsi="Times New Roman" w:cs="David"/>
          <w:b/>
          <w:bCs/>
          <w:sz w:val="24"/>
          <w:szCs w:val="24"/>
        </w:rPr>
      </w:pPr>
      <w:r w:rsidRPr="00A50717">
        <w:rPr>
          <w:rFonts w:ascii="Times New Roman" w:eastAsia="Calibri" w:hAnsi="Times New Roman" w:cs="David"/>
          <w:b/>
          <w:bCs/>
          <w:sz w:val="24"/>
          <w:szCs w:val="24"/>
          <w:rtl/>
        </w:rPr>
        <w:lastRenderedPageBreak/>
        <w:t>התמודדות בינארגונית על היציגות בנוגע להסכם קיבוצי מיוחד, היא עניין לארגוני העובדים בלבד. המעסיק לא ינקוט עמדה בהתמודדות זו</w:t>
      </w:r>
      <w:r w:rsidRPr="00A50717">
        <w:rPr>
          <w:rFonts w:ascii="Times New Roman" w:eastAsia="Calibri" w:hAnsi="Times New Roman" w:cs="David" w:hint="cs"/>
          <w:b/>
          <w:bCs/>
          <w:sz w:val="24"/>
          <w:szCs w:val="24"/>
          <w:rtl/>
        </w:rPr>
        <w:t>.</w:t>
      </w:r>
    </w:p>
    <w:p w:rsidR="000118BE" w:rsidRPr="00A50717" w:rsidRDefault="000118BE" w:rsidP="008F590E">
      <w:pPr>
        <w:pStyle w:val="27"/>
        <w:numPr>
          <w:ilvl w:val="0"/>
          <w:numId w:val="36"/>
        </w:numPr>
        <w:tabs>
          <w:tab w:val="left" w:pos="1134"/>
          <w:tab w:val="left" w:pos="1701"/>
        </w:tabs>
        <w:spacing w:after="0" w:line="360" w:lineRule="auto"/>
        <w:jc w:val="both"/>
        <w:rPr>
          <w:rFonts w:ascii="Times New Roman" w:eastAsia="Calibri" w:hAnsi="Times New Roman" w:cs="David"/>
          <w:b/>
          <w:bCs/>
          <w:sz w:val="24"/>
          <w:szCs w:val="24"/>
          <w:rtl/>
        </w:rPr>
      </w:pPr>
      <w:r w:rsidRPr="00A50717">
        <w:rPr>
          <w:rFonts w:ascii="Times New Roman" w:eastAsia="Calibri" w:hAnsi="Times New Roman" w:cs="David" w:hint="cs"/>
          <w:b/>
          <w:bCs/>
          <w:sz w:val="24"/>
          <w:szCs w:val="24"/>
          <w:u w:val="single"/>
          <w:rtl/>
        </w:rPr>
        <w:t>"</w:t>
      </w:r>
      <w:r w:rsidRPr="00A50717">
        <w:rPr>
          <w:rFonts w:ascii="Times New Roman" w:eastAsia="Calibri" w:hAnsi="Times New Roman" w:cs="David"/>
          <w:b/>
          <w:bCs/>
          <w:sz w:val="24"/>
          <w:szCs w:val="24"/>
          <w:u w:val="single"/>
          <w:rtl/>
        </w:rPr>
        <w:t>המועד הקובע"</w:t>
      </w:r>
      <w:r w:rsidRPr="00A50717">
        <w:rPr>
          <w:rFonts w:ascii="Times New Roman" w:eastAsia="Calibri" w:hAnsi="Times New Roman" w:cs="David"/>
          <w:b/>
          <w:bCs/>
          <w:sz w:val="24"/>
          <w:szCs w:val="24"/>
          <w:rtl/>
        </w:rPr>
        <w:t xml:space="preserve"> לבחינת היציגות, בין בהתארגנות ראשונית פורצת, בין במקום עבודה מאורגן, ובין בנסיבות של יריבות בין ארגוני עובדים, הוא המועד בו ארגון העובדים, או הארגון המתחרה, לפי העניין, הודיע בכתב וכדין על יציגותו </w:t>
      </w:r>
      <w:r w:rsidRPr="00A50717">
        <w:rPr>
          <w:rFonts w:ascii="Times New Roman" w:eastAsia="Calibri" w:hAnsi="Times New Roman" w:cs="David" w:hint="cs"/>
          <w:b/>
          <w:bCs/>
          <w:sz w:val="24"/>
          <w:szCs w:val="24"/>
          <w:rtl/>
        </w:rPr>
        <w:t xml:space="preserve">הן </w:t>
      </w:r>
      <w:r w:rsidRPr="00A50717">
        <w:rPr>
          <w:rFonts w:ascii="Times New Roman" w:eastAsia="Calibri" w:hAnsi="Times New Roman" w:cs="David"/>
          <w:b/>
          <w:bCs/>
          <w:sz w:val="24"/>
          <w:szCs w:val="24"/>
          <w:rtl/>
        </w:rPr>
        <w:t>למעסיק ו</w:t>
      </w:r>
      <w:r w:rsidRPr="00A50717">
        <w:rPr>
          <w:rFonts w:ascii="Times New Roman" w:eastAsia="Calibri" w:hAnsi="Times New Roman" w:cs="David" w:hint="cs"/>
          <w:b/>
          <w:bCs/>
          <w:sz w:val="24"/>
          <w:szCs w:val="24"/>
          <w:rtl/>
        </w:rPr>
        <w:t xml:space="preserve">הן </w:t>
      </w:r>
      <w:r w:rsidR="008F590E">
        <w:rPr>
          <w:rFonts w:ascii="Times New Roman" w:eastAsia="Calibri" w:hAnsi="Times New Roman" w:cs="David"/>
          <w:b/>
          <w:bCs/>
          <w:sz w:val="24"/>
          <w:szCs w:val="24"/>
          <w:rtl/>
        </w:rPr>
        <w:t>לארגון העובדים הקיים</w:t>
      </w:r>
      <w:r w:rsidRPr="00A50717">
        <w:rPr>
          <w:rFonts w:ascii="Times New Roman" w:eastAsia="Calibri" w:hAnsi="Times New Roman" w:cs="David"/>
          <w:b/>
          <w:bCs/>
          <w:sz w:val="24"/>
          <w:szCs w:val="24"/>
          <w:rtl/>
        </w:rPr>
        <w:t>.</w:t>
      </w:r>
    </w:p>
    <w:p w:rsidR="000118BE" w:rsidRPr="00A50717" w:rsidRDefault="000118BE" w:rsidP="00A8553B">
      <w:pPr>
        <w:pStyle w:val="27"/>
        <w:numPr>
          <w:ilvl w:val="0"/>
          <w:numId w:val="36"/>
        </w:numPr>
        <w:tabs>
          <w:tab w:val="left" w:pos="1134"/>
          <w:tab w:val="left" w:pos="1701"/>
        </w:tabs>
        <w:spacing w:after="0" w:line="360" w:lineRule="auto"/>
        <w:jc w:val="both"/>
        <w:rPr>
          <w:rFonts w:ascii="Times New Roman" w:eastAsia="Calibri" w:hAnsi="Times New Roman" w:cs="David"/>
          <w:b/>
          <w:bCs/>
          <w:sz w:val="24"/>
          <w:szCs w:val="24"/>
        </w:rPr>
      </w:pPr>
      <w:r w:rsidRPr="00A50717">
        <w:rPr>
          <w:rFonts w:ascii="Times New Roman" w:eastAsia="Calibri" w:hAnsi="Times New Roman" w:cs="David" w:hint="cs"/>
          <w:b/>
          <w:bCs/>
          <w:sz w:val="24"/>
          <w:szCs w:val="24"/>
          <w:rtl/>
        </w:rPr>
        <w:t xml:space="preserve">חובת </w:t>
      </w:r>
      <w:r w:rsidRPr="00A50717">
        <w:rPr>
          <w:rFonts w:ascii="Times New Roman" w:eastAsia="Calibri" w:hAnsi="Times New Roman" w:cs="David"/>
          <w:b/>
          <w:bCs/>
          <w:sz w:val="24"/>
          <w:szCs w:val="24"/>
          <w:rtl/>
        </w:rPr>
        <w:t xml:space="preserve">הארגון המתחרה למסור לארגון העובדים היציג הקיים, </w:t>
      </w:r>
      <w:r w:rsidRPr="00A50717">
        <w:rPr>
          <w:rFonts w:ascii="Times New Roman" w:eastAsia="Calibri" w:hAnsi="Times New Roman" w:cs="David"/>
          <w:b/>
          <w:bCs/>
          <w:sz w:val="24"/>
          <w:szCs w:val="24"/>
          <w:u w:val="single"/>
          <w:rtl/>
        </w:rPr>
        <w:t>הודע</w:t>
      </w:r>
      <w:r w:rsidRPr="00A50717">
        <w:rPr>
          <w:rFonts w:ascii="Times New Roman" w:eastAsia="Calibri" w:hAnsi="Times New Roman" w:cs="David" w:hint="cs"/>
          <w:b/>
          <w:bCs/>
          <w:sz w:val="24"/>
          <w:szCs w:val="24"/>
          <w:u w:val="single"/>
          <w:rtl/>
        </w:rPr>
        <w:t>ת</w:t>
      </w:r>
      <w:r w:rsidRPr="00A50717">
        <w:rPr>
          <w:rFonts w:ascii="Times New Roman" w:eastAsia="Calibri" w:hAnsi="Times New Roman" w:cs="David"/>
          <w:b/>
          <w:bCs/>
          <w:sz w:val="24"/>
          <w:szCs w:val="24"/>
          <w:u w:val="single"/>
          <w:rtl/>
        </w:rPr>
        <w:t xml:space="preserve"> יציגות</w:t>
      </w:r>
      <w:r w:rsidRPr="00A50717">
        <w:rPr>
          <w:rFonts w:ascii="Times New Roman" w:eastAsia="Calibri" w:hAnsi="Times New Roman" w:cs="David" w:hint="cs"/>
          <w:b/>
          <w:bCs/>
          <w:sz w:val="24"/>
          <w:szCs w:val="24"/>
          <w:rtl/>
        </w:rPr>
        <w:t xml:space="preserve"> כדין</w:t>
      </w:r>
      <w:r w:rsidRPr="00A50717">
        <w:rPr>
          <w:rFonts w:ascii="Times New Roman" w:eastAsia="Calibri" w:hAnsi="Times New Roman" w:cs="David"/>
          <w:b/>
          <w:bCs/>
          <w:sz w:val="24"/>
          <w:szCs w:val="24"/>
          <w:rtl/>
        </w:rPr>
        <w:t xml:space="preserve"> בצירוף רשימה שמית ברורה של העובדים שהודיעו על חברותם בארגון המתחרה, ובצירוף עותק מטפסי חברות העובדים בארגון המתחרה. </w:t>
      </w:r>
    </w:p>
    <w:p w:rsidR="000118BE" w:rsidRPr="00A50717" w:rsidRDefault="000118BE" w:rsidP="00A8553B">
      <w:pPr>
        <w:pStyle w:val="27"/>
        <w:numPr>
          <w:ilvl w:val="0"/>
          <w:numId w:val="36"/>
        </w:numPr>
        <w:tabs>
          <w:tab w:val="left" w:pos="1134"/>
          <w:tab w:val="left" w:pos="1701"/>
        </w:tabs>
        <w:spacing w:after="0" w:line="360" w:lineRule="auto"/>
        <w:jc w:val="both"/>
        <w:rPr>
          <w:rFonts w:ascii="Times New Roman" w:eastAsia="Calibri" w:hAnsi="Times New Roman" w:cs="David"/>
          <w:b/>
          <w:bCs/>
          <w:sz w:val="24"/>
          <w:szCs w:val="24"/>
        </w:rPr>
      </w:pPr>
      <w:r w:rsidRPr="00A50717">
        <w:rPr>
          <w:rFonts w:ascii="Times New Roman" w:eastAsia="Calibri" w:hAnsi="Times New Roman" w:cs="David"/>
          <w:b/>
          <w:bCs/>
          <w:sz w:val="24"/>
          <w:szCs w:val="24"/>
          <w:rtl/>
        </w:rPr>
        <w:t xml:space="preserve">טפסי ההצטרפות יהיו </w:t>
      </w:r>
      <w:r w:rsidRPr="00A50717">
        <w:rPr>
          <w:rFonts w:ascii="Times New Roman" w:eastAsia="Calibri" w:hAnsi="Times New Roman" w:cs="David" w:hint="cs"/>
          <w:b/>
          <w:bCs/>
          <w:sz w:val="24"/>
          <w:szCs w:val="24"/>
          <w:rtl/>
        </w:rPr>
        <w:t>מזוהים, מפורטים, ברורים ו</w:t>
      </w:r>
      <w:r w:rsidRPr="00A50717">
        <w:rPr>
          <w:rFonts w:ascii="Times New Roman" w:eastAsia="Calibri" w:hAnsi="Times New Roman" w:cs="David"/>
          <w:b/>
          <w:bCs/>
          <w:sz w:val="24"/>
          <w:szCs w:val="24"/>
          <w:rtl/>
        </w:rPr>
        <w:t>חתומים כדין על ידי כל עובד ועובד</w:t>
      </w:r>
      <w:r w:rsidRPr="00A50717">
        <w:rPr>
          <w:rFonts w:ascii="Times New Roman" w:eastAsia="Calibri" w:hAnsi="Times New Roman" w:cs="David" w:hint="cs"/>
          <w:b/>
          <w:bCs/>
          <w:sz w:val="24"/>
          <w:szCs w:val="24"/>
          <w:rtl/>
        </w:rPr>
        <w:t xml:space="preserve">. כן </w:t>
      </w:r>
      <w:r w:rsidRPr="00A50717">
        <w:rPr>
          <w:rFonts w:ascii="Times New Roman" w:eastAsia="Calibri" w:hAnsi="Times New Roman" w:cs="David"/>
          <w:b/>
          <w:bCs/>
          <w:sz w:val="24"/>
          <w:szCs w:val="24"/>
          <w:rtl/>
        </w:rPr>
        <w:t xml:space="preserve">יכללו </w:t>
      </w:r>
      <w:r w:rsidRPr="00A50717">
        <w:rPr>
          <w:rFonts w:ascii="Times New Roman" w:eastAsia="Calibri" w:hAnsi="Times New Roman" w:cs="David" w:hint="cs"/>
          <w:b/>
          <w:bCs/>
          <w:sz w:val="24"/>
          <w:szCs w:val="24"/>
          <w:rtl/>
        </w:rPr>
        <w:t xml:space="preserve">הטפסים האישיים </w:t>
      </w:r>
      <w:r w:rsidRPr="00A50717">
        <w:rPr>
          <w:rFonts w:ascii="Times New Roman" w:eastAsia="Calibri" w:hAnsi="Times New Roman" w:cs="David"/>
          <w:b/>
          <w:bCs/>
          <w:sz w:val="24"/>
          <w:szCs w:val="24"/>
          <w:rtl/>
        </w:rPr>
        <w:t>הצהרות העובד על חברותו</w:t>
      </w:r>
      <w:r w:rsidRPr="00A50717">
        <w:rPr>
          <w:rFonts w:ascii="Times New Roman" w:eastAsia="Calibri" w:hAnsi="Times New Roman" w:cs="David" w:hint="cs"/>
          <w:b/>
          <w:bCs/>
          <w:sz w:val="24"/>
          <w:szCs w:val="24"/>
          <w:rtl/>
        </w:rPr>
        <w:t xml:space="preserve"> הרצונית</w:t>
      </w:r>
      <w:r w:rsidRPr="00A50717">
        <w:rPr>
          <w:rFonts w:ascii="Times New Roman" w:eastAsia="Calibri" w:hAnsi="Times New Roman" w:cs="David"/>
          <w:b/>
          <w:bCs/>
          <w:sz w:val="24"/>
          <w:szCs w:val="24"/>
          <w:rtl/>
        </w:rPr>
        <w:t xml:space="preserve"> בארגון אליו הצטרף ועל ביטול </w:t>
      </w:r>
      <w:r w:rsidRPr="00A50717">
        <w:rPr>
          <w:rFonts w:ascii="Times New Roman" w:eastAsia="Calibri" w:hAnsi="Times New Roman" w:cs="David" w:hint="cs"/>
          <w:b/>
          <w:bCs/>
          <w:sz w:val="24"/>
          <w:szCs w:val="24"/>
          <w:rtl/>
        </w:rPr>
        <w:t xml:space="preserve">מפורש של </w:t>
      </w:r>
      <w:r w:rsidRPr="00A50717">
        <w:rPr>
          <w:rFonts w:ascii="Times New Roman" w:eastAsia="Calibri" w:hAnsi="Times New Roman" w:cs="David"/>
          <w:b/>
          <w:bCs/>
          <w:sz w:val="24"/>
          <w:szCs w:val="24"/>
          <w:rtl/>
        </w:rPr>
        <w:t xml:space="preserve">חברותו </w:t>
      </w:r>
      <w:r w:rsidRPr="00A50717">
        <w:rPr>
          <w:rFonts w:ascii="Times New Roman" w:eastAsia="Calibri" w:hAnsi="Times New Roman" w:cs="David" w:hint="cs"/>
          <w:b/>
          <w:bCs/>
          <w:sz w:val="24"/>
          <w:szCs w:val="24"/>
          <w:rtl/>
        </w:rPr>
        <w:t xml:space="preserve">הרצונית </w:t>
      </w:r>
      <w:r w:rsidRPr="00A50717">
        <w:rPr>
          <w:rFonts w:ascii="Times New Roman" w:eastAsia="Calibri" w:hAnsi="Times New Roman" w:cs="David"/>
          <w:b/>
          <w:bCs/>
          <w:sz w:val="24"/>
          <w:szCs w:val="24"/>
          <w:rtl/>
        </w:rPr>
        <w:t xml:space="preserve">בארגון עובדים אחר באותו מקום עבודה. </w:t>
      </w:r>
    </w:p>
    <w:p w:rsidR="000118BE" w:rsidRPr="00A50717" w:rsidRDefault="000118BE" w:rsidP="00A8553B">
      <w:pPr>
        <w:pStyle w:val="27"/>
        <w:numPr>
          <w:ilvl w:val="0"/>
          <w:numId w:val="36"/>
        </w:numPr>
        <w:tabs>
          <w:tab w:val="left" w:pos="1134"/>
          <w:tab w:val="left" w:pos="1701"/>
        </w:tabs>
        <w:spacing w:after="0" w:line="360" w:lineRule="auto"/>
        <w:jc w:val="both"/>
        <w:rPr>
          <w:rFonts w:ascii="Times New Roman" w:eastAsia="Calibri" w:hAnsi="Times New Roman" w:cs="David"/>
          <w:b/>
          <w:bCs/>
          <w:sz w:val="24"/>
          <w:szCs w:val="24"/>
          <w:rtl/>
        </w:rPr>
      </w:pPr>
      <w:r w:rsidRPr="00A50717">
        <w:rPr>
          <w:rFonts w:ascii="Times New Roman" w:eastAsia="Calibri" w:hAnsi="Times New Roman" w:cs="David"/>
          <w:b/>
          <w:bCs/>
          <w:sz w:val="24"/>
          <w:szCs w:val="24"/>
          <w:rtl/>
        </w:rPr>
        <w:t xml:space="preserve">במהלך </w:t>
      </w:r>
      <w:r w:rsidRPr="00A50717">
        <w:rPr>
          <w:rFonts w:ascii="Times New Roman" w:eastAsia="Calibri" w:hAnsi="Times New Roman" w:cs="David"/>
          <w:b/>
          <w:bCs/>
          <w:sz w:val="24"/>
          <w:szCs w:val="24"/>
          <w:u w:val="single"/>
          <w:rtl/>
        </w:rPr>
        <w:t>תקופ</w:t>
      </w:r>
      <w:r w:rsidRPr="00A50717">
        <w:rPr>
          <w:rFonts w:ascii="Times New Roman" w:eastAsia="Calibri" w:hAnsi="Times New Roman" w:cs="David" w:hint="cs"/>
          <w:b/>
          <w:bCs/>
          <w:sz w:val="24"/>
          <w:szCs w:val="24"/>
          <w:u w:val="single"/>
          <w:rtl/>
        </w:rPr>
        <w:t>ת שהיה</w:t>
      </w:r>
      <w:r w:rsidRPr="00A50717">
        <w:rPr>
          <w:rFonts w:ascii="Times New Roman" w:eastAsia="Calibri" w:hAnsi="Times New Roman" w:cs="David"/>
          <w:b/>
          <w:bCs/>
          <w:sz w:val="24"/>
          <w:szCs w:val="24"/>
          <w:rtl/>
        </w:rPr>
        <w:t xml:space="preserve"> קצובה וקצרה בת 10 ימים בלבד לאחר "המועד הקובע", רשאים ארגוני העובדים המתחרים, לבחון אך ורק את האותנטיות של החברות בארגון המתחרה. </w:t>
      </w:r>
      <w:r w:rsidRPr="00A50717">
        <w:rPr>
          <w:rFonts w:ascii="Times New Roman" w:eastAsia="Calibri" w:hAnsi="Times New Roman" w:cs="David" w:hint="cs"/>
          <w:b/>
          <w:bCs/>
          <w:sz w:val="24"/>
          <w:szCs w:val="24"/>
          <w:rtl/>
        </w:rPr>
        <w:t xml:space="preserve">בתקופת השהיה הקצרה </w:t>
      </w:r>
      <w:r w:rsidRPr="00A50717">
        <w:rPr>
          <w:rFonts w:ascii="Times New Roman" w:eastAsia="Calibri" w:hAnsi="Times New Roman" w:cs="David"/>
          <w:b/>
          <w:bCs/>
          <w:sz w:val="24"/>
          <w:szCs w:val="24"/>
          <w:rtl/>
        </w:rPr>
        <w:t xml:space="preserve">לא יוּתָר </w:t>
      </w:r>
      <w:r w:rsidRPr="00A50717">
        <w:rPr>
          <w:rFonts w:ascii="Times New Roman" w:eastAsia="Calibri" w:hAnsi="Times New Roman" w:cs="David" w:hint="cs"/>
          <w:b/>
          <w:bCs/>
          <w:sz w:val="24"/>
          <w:szCs w:val="24"/>
          <w:rtl/>
        </w:rPr>
        <w:t>"</w:t>
      </w:r>
      <w:r w:rsidRPr="00A50717">
        <w:rPr>
          <w:rFonts w:ascii="Times New Roman" w:eastAsia="Calibri" w:hAnsi="Times New Roman" w:cs="David"/>
          <w:b/>
          <w:bCs/>
          <w:sz w:val="24"/>
          <w:szCs w:val="24"/>
          <w:rtl/>
        </w:rPr>
        <w:t>מקצה שיפורים</w:t>
      </w:r>
      <w:r w:rsidRPr="00A50717">
        <w:rPr>
          <w:rFonts w:ascii="Times New Roman" w:eastAsia="Calibri" w:hAnsi="Times New Roman" w:cs="David" w:hint="cs"/>
          <w:b/>
          <w:bCs/>
          <w:sz w:val="24"/>
          <w:szCs w:val="24"/>
          <w:rtl/>
        </w:rPr>
        <w:t>"</w:t>
      </w:r>
      <w:r w:rsidRPr="00A50717">
        <w:rPr>
          <w:rFonts w:ascii="Times New Roman" w:eastAsia="Calibri" w:hAnsi="Times New Roman" w:cs="David"/>
          <w:b/>
          <w:bCs/>
          <w:sz w:val="24"/>
          <w:szCs w:val="24"/>
          <w:rtl/>
        </w:rPr>
        <w:t xml:space="preserve"> ונקיטת אמצעי שכנוע להחזרת העובדים לארגון אותו "נטשו", וחוזר חלילה.</w:t>
      </w:r>
    </w:p>
    <w:p w:rsidR="000118BE" w:rsidRPr="00A50717" w:rsidRDefault="000118BE" w:rsidP="00A8553B">
      <w:pPr>
        <w:pStyle w:val="27"/>
        <w:numPr>
          <w:ilvl w:val="0"/>
          <w:numId w:val="36"/>
        </w:numPr>
        <w:tabs>
          <w:tab w:val="left" w:pos="1134"/>
          <w:tab w:val="left" w:pos="1701"/>
        </w:tabs>
        <w:spacing w:after="0" w:line="360" w:lineRule="auto"/>
        <w:jc w:val="both"/>
        <w:rPr>
          <w:rFonts w:ascii="Times New Roman" w:eastAsia="Calibri" w:hAnsi="Times New Roman" w:cs="David"/>
          <w:b/>
          <w:bCs/>
          <w:sz w:val="24"/>
          <w:szCs w:val="24"/>
        </w:rPr>
      </w:pPr>
      <w:r w:rsidRPr="00A50717">
        <w:rPr>
          <w:rFonts w:ascii="Times New Roman" w:eastAsia="Calibri" w:hAnsi="Times New Roman" w:cs="David"/>
          <w:b/>
          <w:bCs/>
          <w:sz w:val="24"/>
          <w:szCs w:val="24"/>
          <w:rtl/>
        </w:rPr>
        <w:t>בתוך 10 ימי</w:t>
      </w:r>
      <w:r w:rsidRPr="00A50717">
        <w:rPr>
          <w:rFonts w:ascii="Times New Roman" w:eastAsia="Calibri" w:hAnsi="Times New Roman" w:cs="David" w:hint="cs"/>
          <w:b/>
          <w:bCs/>
          <w:sz w:val="24"/>
          <w:szCs w:val="24"/>
          <w:rtl/>
        </w:rPr>
        <w:t xml:space="preserve"> השהיה למ</w:t>
      </w:r>
      <w:r w:rsidRPr="00A50717">
        <w:rPr>
          <w:rFonts w:ascii="Times New Roman" w:eastAsia="Calibri" w:hAnsi="Times New Roman" w:cs="David"/>
          <w:b/>
          <w:bCs/>
          <w:sz w:val="24"/>
          <w:szCs w:val="24"/>
          <w:rtl/>
        </w:rPr>
        <w:t>ן "המועד הקובע" על הארגון היציג הקיים להמציא תגובה בכתב לארגון המתחרה בהתייחס להודעתו על היציגות</w:t>
      </w:r>
      <w:r w:rsidRPr="00A50717">
        <w:rPr>
          <w:rFonts w:ascii="Times New Roman" w:eastAsia="Calibri" w:hAnsi="Times New Roman" w:cs="David" w:hint="cs"/>
          <w:b/>
          <w:bCs/>
          <w:sz w:val="24"/>
          <w:szCs w:val="24"/>
          <w:rtl/>
        </w:rPr>
        <w:t xml:space="preserve">. </w:t>
      </w:r>
    </w:p>
    <w:p w:rsidR="000118BE" w:rsidRPr="00A50717" w:rsidRDefault="000118BE" w:rsidP="00A8553B">
      <w:pPr>
        <w:pStyle w:val="27"/>
        <w:numPr>
          <w:ilvl w:val="0"/>
          <w:numId w:val="36"/>
        </w:numPr>
        <w:tabs>
          <w:tab w:val="left" w:pos="1134"/>
          <w:tab w:val="left" w:pos="1701"/>
        </w:tabs>
        <w:spacing w:after="0" w:line="360" w:lineRule="auto"/>
        <w:jc w:val="both"/>
        <w:rPr>
          <w:rFonts w:ascii="Times New Roman" w:eastAsia="Calibri" w:hAnsi="Times New Roman" w:cs="David"/>
          <w:b/>
          <w:bCs/>
          <w:sz w:val="24"/>
          <w:szCs w:val="24"/>
          <w:rtl/>
        </w:rPr>
      </w:pPr>
      <w:r w:rsidRPr="00A50717">
        <w:rPr>
          <w:rFonts w:ascii="Times New Roman" w:eastAsia="Calibri" w:hAnsi="Times New Roman" w:cs="David"/>
          <w:b/>
          <w:bCs/>
          <w:sz w:val="24"/>
          <w:szCs w:val="24"/>
          <w:rtl/>
        </w:rPr>
        <w:t xml:space="preserve">הודיע הארגון הקיים בכתב לארגון המתחרה על הסכמתו להודעת היציגות, אין נדרשת פנייה לבית </w:t>
      </w:r>
      <w:r w:rsidRPr="00A50717">
        <w:rPr>
          <w:rFonts w:ascii="Times New Roman" w:eastAsia="Calibri" w:hAnsi="Times New Roman" w:cs="David" w:hint="cs"/>
          <w:b/>
          <w:bCs/>
          <w:sz w:val="24"/>
          <w:szCs w:val="24"/>
          <w:rtl/>
        </w:rPr>
        <w:t>ה</w:t>
      </w:r>
      <w:r w:rsidRPr="00A50717">
        <w:rPr>
          <w:rFonts w:ascii="Times New Roman" w:eastAsia="Calibri" w:hAnsi="Times New Roman" w:cs="David"/>
          <w:b/>
          <w:bCs/>
          <w:sz w:val="24"/>
          <w:szCs w:val="24"/>
          <w:rtl/>
        </w:rPr>
        <w:t xml:space="preserve">דין </w:t>
      </w:r>
      <w:r w:rsidRPr="00A50717">
        <w:rPr>
          <w:rFonts w:ascii="Times New Roman" w:eastAsia="Calibri" w:hAnsi="Times New Roman" w:cs="David" w:hint="cs"/>
          <w:b/>
          <w:bCs/>
          <w:sz w:val="24"/>
          <w:szCs w:val="24"/>
          <w:rtl/>
        </w:rPr>
        <w:t xml:space="preserve">לעבודה </w:t>
      </w:r>
      <w:r w:rsidRPr="00A50717">
        <w:rPr>
          <w:rFonts w:ascii="Times New Roman" w:eastAsia="Calibri" w:hAnsi="Times New Roman" w:cs="David"/>
          <w:b/>
          <w:bCs/>
          <w:sz w:val="24"/>
          <w:szCs w:val="24"/>
          <w:rtl/>
        </w:rPr>
        <w:t>למתן סעד הצהרתי המכיר ביציגות הארגון המתחרה.</w:t>
      </w:r>
    </w:p>
    <w:p w:rsidR="000118BE" w:rsidRPr="00A50717" w:rsidRDefault="000118BE" w:rsidP="00A8553B">
      <w:pPr>
        <w:pStyle w:val="27"/>
        <w:numPr>
          <w:ilvl w:val="0"/>
          <w:numId w:val="36"/>
        </w:numPr>
        <w:tabs>
          <w:tab w:val="left" w:pos="1134"/>
          <w:tab w:val="left" w:pos="1701"/>
        </w:tabs>
        <w:spacing w:after="0" w:line="360" w:lineRule="auto"/>
        <w:jc w:val="both"/>
        <w:rPr>
          <w:rFonts w:ascii="Times New Roman" w:eastAsia="Calibri" w:hAnsi="Times New Roman" w:cs="David"/>
          <w:b/>
          <w:bCs/>
          <w:sz w:val="24"/>
          <w:szCs w:val="24"/>
          <w:rtl/>
        </w:rPr>
      </w:pPr>
      <w:r w:rsidRPr="00A50717">
        <w:rPr>
          <w:rFonts w:ascii="Times New Roman" w:eastAsia="Calibri" w:hAnsi="Times New Roman" w:cs="David"/>
          <w:b/>
          <w:bCs/>
          <w:sz w:val="24"/>
          <w:szCs w:val="24"/>
          <w:rtl/>
        </w:rPr>
        <w:t>בחלוף 10 ימים ממועד התגובה, יגיש הארגון המתחרה, בקשת צד לבית הדין ארצי לעבודה בעתירה לסעד המצהיר על יציגותו. זאת, ככל שהארגון הקיים הודיע על התנגדותו להודעת היציגות של הארגון המתחרה, או אם לא הגיש תגובתו להודעת היציגות כנדרש.</w:t>
      </w:r>
    </w:p>
    <w:p w:rsidR="000118BE" w:rsidRPr="00A50717" w:rsidRDefault="000118BE" w:rsidP="00AA6BD4">
      <w:pPr>
        <w:pStyle w:val="27"/>
        <w:numPr>
          <w:ilvl w:val="0"/>
          <w:numId w:val="36"/>
        </w:numPr>
        <w:tabs>
          <w:tab w:val="left" w:pos="1134"/>
          <w:tab w:val="left" w:pos="1701"/>
        </w:tabs>
        <w:spacing w:after="0" w:line="360" w:lineRule="auto"/>
        <w:jc w:val="both"/>
        <w:rPr>
          <w:rFonts w:ascii="Times New Roman" w:eastAsia="Calibri" w:hAnsi="Times New Roman" w:cs="David"/>
          <w:b/>
          <w:bCs/>
          <w:sz w:val="24"/>
          <w:szCs w:val="24"/>
          <w:rtl/>
        </w:rPr>
      </w:pPr>
      <w:r w:rsidRPr="00A50717">
        <w:rPr>
          <w:rFonts w:ascii="Times New Roman" w:eastAsia="Calibri" w:hAnsi="Times New Roman" w:cs="David"/>
          <w:b/>
          <w:bCs/>
          <w:sz w:val="24"/>
          <w:szCs w:val="24"/>
          <w:rtl/>
        </w:rPr>
        <w:t xml:space="preserve">הארגון הקיים רשאי להעלות טענה נוגדת של </w:t>
      </w:r>
      <w:r w:rsidRPr="00A50717">
        <w:rPr>
          <w:rFonts w:ascii="Times New Roman" w:eastAsia="Calibri" w:hAnsi="Times New Roman" w:cs="David"/>
          <w:b/>
          <w:bCs/>
          <w:sz w:val="24"/>
          <w:szCs w:val="24"/>
          <w:u w:val="single"/>
          <w:rtl/>
        </w:rPr>
        <w:t>מניעות הלכתית</w:t>
      </w:r>
      <w:r w:rsidR="00AA6BD4">
        <w:rPr>
          <w:rFonts w:ascii="Times New Roman" w:eastAsia="Calibri" w:hAnsi="Times New Roman" w:cs="David"/>
          <w:b/>
          <w:bCs/>
          <w:sz w:val="24"/>
          <w:szCs w:val="24"/>
          <w:rtl/>
        </w:rPr>
        <w:t xml:space="preserve"> בהתאמה לנסיבות המקרה</w:t>
      </w:r>
      <w:r w:rsidRPr="00A50717">
        <w:rPr>
          <w:rFonts w:ascii="Times New Roman" w:eastAsia="Calibri" w:hAnsi="Times New Roman" w:cs="David"/>
          <w:b/>
          <w:bCs/>
          <w:sz w:val="24"/>
          <w:szCs w:val="24"/>
          <w:rtl/>
        </w:rPr>
        <w:t>, ובכפוף לכללי המניעות ההלכתית, לפי העניין: הן לעניין התקיימותו של משא-ומתן קיבוצי אותנטי עם המעסיק, והן לתקופת 12 החודשים, לאחר חתימתו של הסכם קיבוצי מיוחד במקום העבודה.</w:t>
      </w:r>
    </w:p>
    <w:p w:rsidR="000118BE" w:rsidRPr="00A50717" w:rsidRDefault="000118BE" w:rsidP="00A8553B">
      <w:pPr>
        <w:pStyle w:val="27"/>
        <w:numPr>
          <w:ilvl w:val="0"/>
          <w:numId w:val="36"/>
        </w:numPr>
        <w:tabs>
          <w:tab w:val="left" w:pos="1134"/>
          <w:tab w:val="left" w:pos="1701"/>
        </w:tabs>
        <w:spacing w:after="0" w:line="360" w:lineRule="auto"/>
        <w:jc w:val="both"/>
        <w:rPr>
          <w:rFonts w:ascii="Times New Roman" w:eastAsia="Calibri" w:hAnsi="Times New Roman" w:cs="David"/>
          <w:b/>
          <w:bCs/>
          <w:sz w:val="24"/>
          <w:szCs w:val="24"/>
        </w:rPr>
      </w:pPr>
      <w:r w:rsidRPr="00A50717">
        <w:rPr>
          <w:rFonts w:ascii="Times New Roman" w:eastAsia="Calibri" w:hAnsi="Times New Roman" w:cs="David"/>
          <w:b/>
          <w:bCs/>
          <w:sz w:val="24"/>
          <w:szCs w:val="24"/>
          <w:rtl/>
        </w:rPr>
        <w:t>הורם מחסום המניעות ההלכתית</w:t>
      </w:r>
      <w:r w:rsidRPr="00A50717">
        <w:rPr>
          <w:rFonts w:ascii="Times New Roman" w:eastAsia="Calibri" w:hAnsi="Times New Roman" w:cs="David" w:hint="cs"/>
          <w:b/>
          <w:bCs/>
          <w:sz w:val="24"/>
          <w:szCs w:val="24"/>
          <w:rtl/>
        </w:rPr>
        <w:t xml:space="preserve"> העומדת לזכות הארגון היציג הקיים</w:t>
      </w:r>
      <w:r w:rsidRPr="00A50717">
        <w:rPr>
          <w:rFonts w:ascii="Times New Roman" w:eastAsia="Calibri" w:hAnsi="Times New Roman" w:cs="David"/>
          <w:b/>
          <w:bCs/>
          <w:sz w:val="24"/>
          <w:szCs w:val="24"/>
          <w:rtl/>
        </w:rPr>
        <w:t xml:space="preserve">, על הארגון המתחרה להפריך את </w:t>
      </w:r>
      <w:r w:rsidRPr="00A50717">
        <w:rPr>
          <w:rFonts w:ascii="Times New Roman" w:eastAsia="Calibri" w:hAnsi="Times New Roman" w:cs="David"/>
          <w:b/>
          <w:bCs/>
          <w:sz w:val="24"/>
          <w:szCs w:val="24"/>
          <w:u w:val="single"/>
          <w:rtl/>
        </w:rPr>
        <w:t>חזקת היציגות</w:t>
      </w:r>
      <w:r w:rsidRPr="00A50717">
        <w:rPr>
          <w:rFonts w:ascii="Times New Roman" w:eastAsia="Calibri" w:hAnsi="Times New Roman" w:cs="David"/>
          <w:b/>
          <w:bCs/>
          <w:sz w:val="24"/>
          <w:szCs w:val="24"/>
          <w:rtl/>
        </w:rPr>
        <w:t xml:space="preserve"> העומדת לארגון העובדים הקיים. בתוך כך, יוגשו כראיה טפסי החברות של העובדים בכל אחד מן הארגונים ותיבחן נפקותם, לרבות לעניין חברות כפולה נוגדת. </w:t>
      </w:r>
    </w:p>
    <w:p w:rsidR="000118BE" w:rsidRPr="00A50717" w:rsidRDefault="000118BE" w:rsidP="00A8553B">
      <w:pPr>
        <w:pStyle w:val="27"/>
        <w:numPr>
          <w:ilvl w:val="0"/>
          <w:numId w:val="36"/>
        </w:numPr>
        <w:tabs>
          <w:tab w:val="left" w:pos="1134"/>
          <w:tab w:val="left" w:pos="1701"/>
        </w:tabs>
        <w:spacing w:after="0" w:line="360" w:lineRule="auto"/>
        <w:jc w:val="both"/>
        <w:rPr>
          <w:rFonts w:ascii="Times New Roman" w:eastAsia="Calibri" w:hAnsi="Times New Roman" w:cs="David"/>
          <w:b/>
          <w:bCs/>
          <w:sz w:val="24"/>
          <w:szCs w:val="24"/>
          <w:rtl/>
        </w:rPr>
      </w:pPr>
      <w:r w:rsidRPr="00A50717">
        <w:rPr>
          <w:rFonts w:ascii="Times New Roman" w:eastAsia="Calibri" w:hAnsi="Times New Roman" w:cs="David" w:hint="cs"/>
          <w:b/>
          <w:bCs/>
          <w:sz w:val="24"/>
          <w:szCs w:val="24"/>
          <w:rtl/>
        </w:rPr>
        <w:t>לצורך מניין מספר החברים בכל ארגון חל עקרון המניעות מחברות כפולה נוגדת ביותר מארגון עובדים אחד באותו מקום עבודה. במקרה של חברות כפולה נוגדת נגרעת חברות אותו עובד ממספר החברים הרשומים בשני הארגונים.</w:t>
      </w:r>
    </w:p>
    <w:p w:rsidR="000118BE" w:rsidRPr="00A50717" w:rsidRDefault="000118BE" w:rsidP="00A8553B">
      <w:pPr>
        <w:pStyle w:val="27"/>
        <w:numPr>
          <w:ilvl w:val="0"/>
          <w:numId w:val="36"/>
        </w:numPr>
        <w:tabs>
          <w:tab w:val="left" w:pos="1134"/>
          <w:tab w:val="left" w:pos="1701"/>
        </w:tabs>
        <w:spacing w:after="0" w:line="360" w:lineRule="auto"/>
        <w:jc w:val="both"/>
        <w:rPr>
          <w:rFonts w:ascii="Times New Roman" w:eastAsia="Calibri" w:hAnsi="Times New Roman" w:cs="David"/>
          <w:b/>
          <w:bCs/>
          <w:sz w:val="24"/>
          <w:szCs w:val="24"/>
        </w:rPr>
      </w:pPr>
      <w:r w:rsidRPr="00A50717">
        <w:rPr>
          <w:rFonts w:ascii="Times New Roman" w:eastAsia="Calibri" w:hAnsi="Times New Roman" w:cs="David"/>
          <w:b/>
          <w:bCs/>
          <w:sz w:val="24"/>
          <w:szCs w:val="24"/>
          <w:rtl/>
        </w:rPr>
        <w:t>בסמוך לאחר שהוכרעה היציגות במקום העבודה לעניין הסכם קיבוצי מיוחד תחל תקופת ביניים</w:t>
      </w:r>
      <w:r w:rsidRPr="00A50717">
        <w:rPr>
          <w:rFonts w:ascii="Times New Roman" w:eastAsia="Calibri" w:hAnsi="Times New Roman" w:cs="David" w:hint="cs"/>
          <w:b/>
          <w:bCs/>
          <w:sz w:val="24"/>
          <w:szCs w:val="24"/>
          <w:rtl/>
        </w:rPr>
        <w:t xml:space="preserve"> בת ששת חודשים</w:t>
      </w:r>
      <w:r w:rsidRPr="00A50717">
        <w:rPr>
          <w:rFonts w:ascii="Times New Roman" w:eastAsia="Calibri" w:hAnsi="Times New Roman" w:cs="David"/>
          <w:b/>
          <w:bCs/>
          <w:sz w:val="24"/>
          <w:szCs w:val="24"/>
          <w:rtl/>
        </w:rPr>
        <w:t xml:space="preserve"> של </w:t>
      </w:r>
      <w:r w:rsidRPr="00A50717">
        <w:rPr>
          <w:rFonts w:ascii="Times New Roman" w:eastAsia="Calibri" w:hAnsi="Times New Roman" w:cs="David"/>
          <w:b/>
          <w:bCs/>
          <w:sz w:val="24"/>
          <w:szCs w:val="24"/>
          <w:u w:val="single"/>
          <w:rtl/>
        </w:rPr>
        <w:t>"יציבות ארגונית"</w:t>
      </w:r>
      <w:r w:rsidRPr="00A50717">
        <w:rPr>
          <w:rFonts w:ascii="Times New Roman" w:eastAsia="Calibri" w:hAnsi="Times New Roman" w:cs="David"/>
          <w:b/>
          <w:bCs/>
          <w:sz w:val="24"/>
          <w:szCs w:val="24"/>
          <w:rtl/>
        </w:rPr>
        <w:t xml:space="preserve"> במקום העבודה</w:t>
      </w:r>
      <w:r w:rsidRPr="00A50717">
        <w:rPr>
          <w:rFonts w:ascii="Times New Roman" w:eastAsia="Calibri" w:hAnsi="Times New Roman" w:cs="David" w:hint="cs"/>
          <w:b/>
          <w:bCs/>
          <w:sz w:val="24"/>
          <w:szCs w:val="24"/>
          <w:rtl/>
        </w:rPr>
        <w:t>, ה</w:t>
      </w:r>
      <w:r w:rsidRPr="00A50717">
        <w:rPr>
          <w:rFonts w:ascii="Times New Roman" w:eastAsia="Calibri" w:hAnsi="Times New Roman" w:cs="David"/>
          <w:b/>
          <w:bCs/>
          <w:sz w:val="24"/>
          <w:szCs w:val="24"/>
          <w:rtl/>
        </w:rPr>
        <w:t>מקנה חסינות לארגון שהוכר כיציג</w:t>
      </w:r>
      <w:r w:rsidRPr="00A50717">
        <w:rPr>
          <w:rFonts w:ascii="Times New Roman" w:eastAsia="Calibri" w:hAnsi="Times New Roman" w:cs="David" w:hint="cs"/>
          <w:b/>
          <w:bCs/>
          <w:sz w:val="24"/>
          <w:szCs w:val="24"/>
          <w:rtl/>
        </w:rPr>
        <w:t xml:space="preserve"> ומקימה</w:t>
      </w:r>
      <w:r w:rsidRPr="00A50717">
        <w:rPr>
          <w:rFonts w:ascii="Times New Roman" w:eastAsia="Calibri" w:hAnsi="Times New Roman" w:cs="David"/>
          <w:b/>
          <w:bCs/>
          <w:sz w:val="24"/>
          <w:szCs w:val="24"/>
          <w:rtl/>
        </w:rPr>
        <w:t xml:space="preserve"> מניעות מפני ערעור על יציגותו</w:t>
      </w:r>
      <w:r w:rsidRPr="00A50717">
        <w:rPr>
          <w:rFonts w:ascii="Times New Roman" w:eastAsia="Calibri" w:hAnsi="Times New Roman" w:cs="David" w:hint="cs"/>
          <w:b/>
          <w:bCs/>
          <w:sz w:val="24"/>
          <w:szCs w:val="24"/>
          <w:rtl/>
        </w:rPr>
        <w:t>.</w:t>
      </w:r>
    </w:p>
    <w:p w:rsidR="000118BE" w:rsidRPr="00A50717" w:rsidRDefault="000118BE" w:rsidP="00A8553B">
      <w:pPr>
        <w:pStyle w:val="27"/>
        <w:numPr>
          <w:ilvl w:val="0"/>
          <w:numId w:val="36"/>
        </w:numPr>
        <w:tabs>
          <w:tab w:val="left" w:pos="1134"/>
          <w:tab w:val="left" w:pos="1701"/>
        </w:tabs>
        <w:spacing w:after="0" w:line="360" w:lineRule="auto"/>
        <w:jc w:val="both"/>
        <w:rPr>
          <w:rFonts w:ascii="Times New Roman" w:eastAsia="Calibri" w:hAnsi="Times New Roman" w:cs="David"/>
          <w:b/>
          <w:bCs/>
          <w:sz w:val="24"/>
          <w:szCs w:val="24"/>
          <w:rtl/>
        </w:rPr>
      </w:pPr>
      <w:r w:rsidRPr="00A50717">
        <w:rPr>
          <w:rFonts w:ascii="Times New Roman" w:eastAsia="Calibri" w:hAnsi="Times New Roman" w:cs="David"/>
          <w:b/>
          <w:bCs/>
          <w:sz w:val="24"/>
          <w:szCs w:val="24"/>
          <w:rtl/>
        </w:rPr>
        <w:lastRenderedPageBreak/>
        <w:t xml:space="preserve">לאחר שחלפה תקופת "היציבות הארגונית" ובהעדר מניעות הלכתית, רשאי ארגון עובדים מתחרה להעלות טענת יציגות נוגדת, במשלוח הודעה כדין על יציגותו למעסיק ולארגון הקיים שהוכר כיציג. </w:t>
      </w:r>
    </w:p>
    <w:p w:rsidR="000118BE" w:rsidRPr="00A50717" w:rsidRDefault="000118BE" w:rsidP="00A8553B">
      <w:pPr>
        <w:pStyle w:val="27"/>
        <w:tabs>
          <w:tab w:val="left" w:pos="1134"/>
          <w:tab w:val="left" w:pos="1701"/>
        </w:tabs>
        <w:spacing w:after="0" w:line="360" w:lineRule="auto"/>
        <w:ind w:left="-62"/>
        <w:jc w:val="both"/>
        <w:rPr>
          <w:rFonts w:ascii="Times New Roman" w:eastAsia="Calibri" w:hAnsi="Times New Roman" w:cs="David"/>
          <w:b/>
          <w:bCs/>
          <w:sz w:val="24"/>
          <w:szCs w:val="24"/>
          <w:rtl/>
        </w:rPr>
      </w:pPr>
      <w:r w:rsidRPr="00A50717">
        <w:rPr>
          <w:rFonts w:ascii="Times New Roman" w:eastAsia="Calibri" w:hAnsi="Times New Roman" w:cs="David" w:hint="cs"/>
          <w:b/>
          <w:bCs/>
          <w:sz w:val="24"/>
          <w:szCs w:val="24"/>
          <w:rtl/>
        </w:rPr>
        <w:t xml:space="preserve">בנסיבות העניין, </w:t>
      </w:r>
      <w:r w:rsidRPr="00A50717">
        <w:rPr>
          <w:rFonts w:ascii="Times New Roman" w:eastAsia="Calibri" w:hAnsi="Times New Roman" w:cs="David"/>
          <w:b/>
          <w:bCs/>
          <w:sz w:val="24"/>
          <w:szCs w:val="24"/>
          <w:rtl/>
        </w:rPr>
        <w:t>נדחת</w:t>
      </w:r>
      <w:r w:rsidRPr="00A50717">
        <w:rPr>
          <w:rFonts w:ascii="Times New Roman" w:eastAsia="Calibri" w:hAnsi="Times New Roman" w:cs="David" w:hint="cs"/>
          <w:b/>
          <w:bCs/>
          <w:sz w:val="24"/>
          <w:szCs w:val="24"/>
          <w:rtl/>
        </w:rPr>
        <w:t>ה</w:t>
      </w:r>
      <w:r w:rsidRPr="00A50717">
        <w:rPr>
          <w:rFonts w:ascii="Times New Roman" w:eastAsia="Calibri" w:hAnsi="Times New Roman" w:cs="David"/>
          <w:b/>
          <w:bCs/>
          <w:sz w:val="24"/>
          <w:szCs w:val="24"/>
          <w:rtl/>
        </w:rPr>
        <w:t xml:space="preserve"> עתירתה של ההסתדרות הלאומית להצהיר כי היא הארגון היציג במועצה האזורית אל </w:t>
      </w:r>
      <w:r w:rsidRPr="00A50717">
        <w:rPr>
          <w:rFonts w:ascii="Times New Roman" w:eastAsia="Calibri" w:hAnsi="Times New Roman" w:cs="David" w:hint="cs"/>
          <w:b/>
          <w:bCs/>
          <w:sz w:val="24"/>
          <w:szCs w:val="24"/>
          <w:rtl/>
        </w:rPr>
        <w:t xml:space="preserve">בטוף, </w:t>
      </w:r>
      <w:r w:rsidRPr="00A50717">
        <w:rPr>
          <w:rFonts w:ascii="Times New Roman" w:eastAsia="Calibri" w:hAnsi="Times New Roman" w:cs="David"/>
          <w:b/>
          <w:bCs/>
          <w:sz w:val="24"/>
          <w:szCs w:val="24"/>
          <w:rtl/>
        </w:rPr>
        <w:t>לאחר שלא עלה בידי</w:t>
      </w:r>
      <w:r w:rsidRPr="00A50717">
        <w:rPr>
          <w:rFonts w:ascii="Times New Roman" w:eastAsia="Calibri" w:hAnsi="Times New Roman" w:cs="David" w:hint="cs"/>
          <w:b/>
          <w:bCs/>
          <w:sz w:val="24"/>
          <w:szCs w:val="24"/>
          <w:rtl/>
        </w:rPr>
        <w:t>ה</w:t>
      </w:r>
      <w:r w:rsidRPr="00A50717">
        <w:rPr>
          <w:rFonts w:ascii="Times New Roman" w:eastAsia="Calibri" w:hAnsi="Times New Roman" w:cs="David"/>
          <w:b/>
          <w:bCs/>
          <w:sz w:val="24"/>
          <w:szCs w:val="24"/>
          <w:rtl/>
        </w:rPr>
        <w:t xml:space="preserve"> לערער על חזקת היציגות של </w:t>
      </w:r>
      <w:r w:rsidRPr="00A50717">
        <w:rPr>
          <w:rFonts w:ascii="Times New Roman" w:eastAsia="Calibri" w:hAnsi="Times New Roman" w:cs="David" w:hint="cs"/>
          <w:b/>
          <w:bCs/>
          <w:sz w:val="24"/>
          <w:szCs w:val="24"/>
          <w:rtl/>
        </w:rPr>
        <w:t xml:space="preserve">ההסתדרות </w:t>
      </w:r>
      <w:r w:rsidRPr="00A50717">
        <w:rPr>
          <w:rFonts w:ascii="Times New Roman" w:eastAsia="Calibri" w:hAnsi="Times New Roman" w:cs="David"/>
          <w:b/>
          <w:bCs/>
          <w:sz w:val="24"/>
          <w:szCs w:val="24"/>
          <w:rtl/>
        </w:rPr>
        <w:t>הכללית, ומשנמצא</w:t>
      </w:r>
      <w:r w:rsidRPr="00A50717">
        <w:rPr>
          <w:rFonts w:ascii="Times New Roman" w:eastAsia="Calibri" w:hAnsi="Times New Roman" w:cs="David" w:hint="cs"/>
          <w:b/>
          <w:bCs/>
          <w:sz w:val="24"/>
          <w:szCs w:val="24"/>
          <w:rtl/>
        </w:rPr>
        <w:t>, על פי בדיקת הטפסים הכשרים והמפורטים שאין בהם חברות נוגדת,</w:t>
      </w:r>
      <w:r w:rsidRPr="00A50717">
        <w:rPr>
          <w:rFonts w:ascii="Times New Roman" w:eastAsia="Calibri" w:hAnsi="Times New Roman" w:cs="David"/>
          <w:b/>
          <w:bCs/>
          <w:sz w:val="24"/>
          <w:szCs w:val="24"/>
          <w:rtl/>
        </w:rPr>
        <w:t xml:space="preserve"> כי "במועד הקובע" </w:t>
      </w:r>
      <w:r w:rsidRPr="00A50717">
        <w:rPr>
          <w:rFonts w:ascii="Times New Roman" w:eastAsia="Calibri" w:hAnsi="Times New Roman" w:cs="David" w:hint="cs"/>
          <w:b/>
          <w:bCs/>
          <w:sz w:val="24"/>
          <w:szCs w:val="24"/>
          <w:rtl/>
        </w:rPr>
        <w:t xml:space="preserve">היו חברים בהסתדרות הכללית </w:t>
      </w:r>
      <w:r w:rsidRPr="00A50717">
        <w:rPr>
          <w:rFonts w:ascii="Times New Roman" w:eastAsia="Calibri" w:hAnsi="Times New Roman" w:cs="David"/>
          <w:b/>
          <w:bCs/>
          <w:sz w:val="24"/>
          <w:szCs w:val="24"/>
          <w:rtl/>
        </w:rPr>
        <w:t>מספר גדול יותר של עובדים</w:t>
      </w:r>
      <w:r w:rsidRPr="00A50717">
        <w:rPr>
          <w:rFonts w:ascii="Times New Roman" w:eastAsia="Calibri" w:hAnsi="Times New Roman" w:cs="David" w:hint="cs"/>
          <w:b/>
          <w:bCs/>
          <w:sz w:val="24"/>
          <w:szCs w:val="24"/>
          <w:rtl/>
        </w:rPr>
        <w:t xml:space="preserve"> בודדים</w:t>
      </w:r>
      <w:r w:rsidRPr="00A50717">
        <w:rPr>
          <w:rFonts w:ascii="Times New Roman" w:eastAsia="Calibri" w:hAnsi="Times New Roman" w:cs="David"/>
          <w:b/>
          <w:bCs/>
          <w:sz w:val="24"/>
          <w:szCs w:val="24"/>
          <w:rtl/>
        </w:rPr>
        <w:t xml:space="preserve"> ובשיעור העולה על שליש מכלל עובדי המועצה</w:t>
      </w:r>
      <w:r w:rsidRPr="00A50717">
        <w:rPr>
          <w:rFonts w:ascii="Times New Roman" w:eastAsia="Calibri" w:hAnsi="Times New Roman" w:cs="David" w:hint="cs"/>
          <w:b/>
          <w:bCs/>
          <w:sz w:val="24"/>
          <w:szCs w:val="24"/>
          <w:rtl/>
        </w:rPr>
        <w:t>.</w:t>
      </w:r>
    </w:p>
    <w:p w:rsidR="000118BE" w:rsidRDefault="000118BE" w:rsidP="008F590E">
      <w:pPr>
        <w:tabs>
          <w:tab w:val="left" w:pos="0"/>
        </w:tabs>
        <w:bidi/>
        <w:spacing w:line="360" w:lineRule="auto"/>
        <w:jc w:val="both"/>
        <w:rPr>
          <w:rFonts w:eastAsia="Calibri"/>
          <w:b/>
          <w:bCs/>
          <w:sz w:val="22"/>
          <w:szCs w:val="22"/>
          <w:rtl/>
        </w:rPr>
      </w:pPr>
      <w:r w:rsidRPr="007B7BD7">
        <w:rPr>
          <w:color w:val="000000"/>
          <w:sz w:val="22"/>
          <w:szCs w:val="22"/>
          <w:rtl/>
        </w:rPr>
        <w:t>ס</w:t>
      </w:r>
      <w:r w:rsidRPr="007B7BD7">
        <w:rPr>
          <w:rFonts w:hint="cs"/>
          <w:color w:val="000000"/>
          <w:sz w:val="22"/>
          <w:szCs w:val="22"/>
          <w:rtl/>
        </w:rPr>
        <w:t>ב"א 31575-02-13</w:t>
      </w:r>
      <w:r w:rsidRPr="007B7BD7">
        <w:rPr>
          <w:rFonts w:hint="cs"/>
          <w:sz w:val="22"/>
          <w:szCs w:val="22"/>
          <w:rtl/>
        </w:rPr>
        <w:t xml:space="preserve"> </w:t>
      </w:r>
      <w:r w:rsidRPr="007B7BD7">
        <w:rPr>
          <w:color w:val="FF0000"/>
          <w:sz w:val="22"/>
          <w:szCs w:val="22"/>
        </w:rPr>
        <w:t>●</w:t>
      </w:r>
      <w:r w:rsidRPr="007B7BD7">
        <w:rPr>
          <w:rFonts w:hint="cs"/>
          <w:b/>
          <w:bCs/>
          <w:sz w:val="22"/>
          <w:szCs w:val="22"/>
          <w:rtl/>
        </w:rPr>
        <w:t xml:space="preserve"> הסתדרות העובדים הלאומית - הסתדרות העובדים הכללית החדשה ואח'</w:t>
      </w:r>
      <w:r w:rsidRPr="007B7BD7">
        <w:rPr>
          <w:rFonts w:hint="cs"/>
          <w:sz w:val="22"/>
          <w:szCs w:val="22"/>
          <w:rtl/>
        </w:rPr>
        <w:t xml:space="preserve">  (9.9.13) </w:t>
      </w:r>
      <w:r w:rsidRPr="007B7BD7">
        <w:rPr>
          <w:color w:val="FF0000"/>
          <w:sz w:val="22"/>
          <w:szCs w:val="22"/>
        </w:rPr>
        <w:t>●</w:t>
      </w:r>
      <w:r w:rsidRPr="007B7BD7">
        <w:rPr>
          <w:rFonts w:hint="cs"/>
          <w:sz w:val="22"/>
          <w:szCs w:val="22"/>
          <w:rtl/>
        </w:rPr>
        <w:t xml:space="preserve"> בפני </w:t>
      </w:r>
      <w:r w:rsidR="008F590E">
        <w:rPr>
          <w:rFonts w:hint="cs"/>
          <w:sz w:val="22"/>
          <w:szCs w:val="22"/>
          <w:rtl/>
        </w:rPr>
        <w:t>כב'</w:t>
      </w:r>
      <w:r w:rsidRPr="007B7BD7">
        <w:rPr>
          <w:rFonts w:hint="cs"/>
          <w:sz w:val="22"/>
          <w:szCs w:val="22"/>
          <w:rtl/>
        </w:rPr>
        <w:t xml:space="preserve"> השופטת נשיאת בית הדין הארצי נילי ארד, השופטת רונית רוזנפלד, השופטת יעל אנגלברג שהם,  נ.ע. מר שלום חבשוש, נ.מ. מר מיכה ינון</w:t>
      </w:r>
    </w:p>
    <w:p w:rsidR="000118BE" w:rsidRPr="00FF211E" w:rsidRDefault="000118BE" w:rsidP="00A8553B">
      <w:pPr>
        <w:tabs>
          <w:tab w:val="left" w:pos="0"/>
        </w:tabs>
        <w:bidi/>
        <w:spacing w:line="360" w:lineRule="auto"/>
        <w:jc w:val="both"/>
        <w:rPr>
          <w:rFonts w:eastAsia="Calibri"/>
          <w:b/>
          <w:bCs/>
          <w:color w:val="0000FF"/>
          <w:sz w:val="22"/>
          <w:szCs w:val="22"/>
          <w:rtl/>
        </w:rPr>
      </w:pPr>
    </w:p>
    <w:p w:rsidR="000118BE" w:rsidRPr="00FF211E" w:rsidRDefault="000118BE" w:rsidP="00A8553B">
      <w:pPr>
        <w:numPr>
          <w:ilvl w:val="0"/>
          <w:numId w:val="19"/>
        </w:numPr>
        <w:tabs>
          <w:tab w:val="left" w:pos="-316"/>
        </w:tabs>
        <w:bidi/>
        <w:spacing w:line="360" w:lineRule="auto"/>
        <w:ind w:right="0" w:hanging="612"/>
        <w:jc w:val="both"/>
        <w:rPr>
          <w:rFonts w:ascii="Arial" w:hAnsi="Arial"/>
          <w:b/>
          <w:bCs/>
          <w:color w:val="0000FF"/>
          <w:sz w:val="24"/>
          <w:u w:val="single"/>
        </w:rPr>
      </w:pPr>
      <w:r w:rsidRPr="00FF211E">
        <w:rPr>
          <w:rFonts w:ascii="Arial" w:hAnsi="Arial" w:hint="cs"/>
          <w:b/>
          <w:bCs/>
          <w:color w:val="0000FF"/>
          <w:sz w:val="24"/>
          <w:u w:val="single"/>
          <w:rtl/>
        </w:rPr>
        <w:t>מעסיק זכאי לחייב עובדים למסור טביעת אצבע אלקטרונית לשעון נוכחות ללא התערבות הארגון היציג</w:t>
      </w:r>
    </w:p>
    <w:p w:rsidR="000118BE" w:rsidRPr="00DD37EF" w:rsidRDefault="000118BE" w:rsidP="008F590E">
      <w:pPr>
        <w:tabs>
          <w:tab w:val="left" w:pos="-316"/>
        </w:tabs>
        <w:bidi/>
        <w:jc w:val="both"/>
        <w:rPr>
          <w:rFonts w:ascii="Arial" w:hAnsi="Arial"/>
          <w:b/>
          <w:bCs/>
          <w:color w:val="008000"/>
          <w:sz w:val="24"/>
          <w:u w:val="single"/>
        </w:rPr>
      </w:pPr>
    </w:p>
    <w:p w:rsidR="000118BE" w:rsidRPr="007A02F1" w:rsidRDefault="000118BE" w:rsidP="00A8553B">
      <w:pPr>
        <w:tabs>
          <w:tab w:val="left" w:pos="0"/>
        </w:tabs>
        <w:bidi/>
        <w:spacing w:line="360" w:lineRule="auto"/>
        <w:ind w:left="12"/>
        <w:jc w:val="both"/>
        <w:rPr>
          <w:rFonts w:eastAsia="Calibri"/>
          <w:b/>
          <w:bCs/>
          <w:sz w:val="24"/>
          <w:rtl/>
        </w:rPr>
      </w:pPr>
      <w:r w:rsidRPr="007A02F1">
        <w:rPr>
          <w:rFonts w:eastAsia="Calibri" w:hint="cs"/>
          <w:b/>
          <w:bCs/>
          <w:sz w:val="24"/>
          <w:rtl/>
        </w:rPr>
        <w:t xml:space="preserve">במסגרת בקשת צד בסכסוך קיבוצי, דרשה ההסתדרות הצהרה על היעדר חובה מצד עובדי עירייה למסור טביעת אצבע לשם החתמת שעון נוכחות ביומטרי. נטען, כי לקיחת טביעות אצבע מעובדי העירייה מביאה להשפלתם ופוגעת בזכותם לפרטיות. בית הדין קבע, כי אל מול הזכות לפרטיות עומדת זכות הקניין של המעסיק, ממנה נגזרת הפררוגטיבה הניהולית שלו. במסגרת זכות יסוד זו, רשאי המעסיק לקבוע את האופן בו יתנהלו רישומי הנוכחות. נקבע כי טביעת האצבע האלקטרונית אינה יוצרת העתק המשמר את כל מאפייני הטביעה לשם הוכחה בהקשרים אחרים. בית הדין אף קבע, כי  לשימוש בשעון הביומטרי לא נדרשת הסכמת הארגון היציג, מאחר ומדובר בעניין אדמיניסטרטיבי שאין הועד רשאי להתערב בו. </w:t>
      </w:r>
    </w:p>
    <w:p w:rsidR="000118BE" w:rsidRDefault="000118BE" w:rsidP="008F590E">
      <w:pPr>
        <w:tabs>
          <w:tab w:val="left" w:pos="0"/>
        </w:tabs>
        <w:bidi/>
        <w:spacing w:line="360" w:lineRule="auto"/>
        <w:jc w:val="both"/>
        <w:rPr>
          <w:rFonts w:eastAsia="Calibri"/>
          <w:b/>
          <w:bCs/>
          <w:sz w:val="22"/>
          <w:szCs w:val="22"/>
          <w:rtl/>
        </w:rPr>
      </w:pPr>
      <w:r w:rsidRPr="007A02F1">
        <w:rPr>
          <w:rFonts w:hint="cs"/>
          <w:sz w:val="22"/>
          <w:szCs w:val="22"/>
          <w:rtl/>
        </w:rPr>
        <w:t xml:space="preserve">ס"ק  (אזורי ת"א) 49718-11-12 </w:t>
      </w:r>
      <w:r w:rsidRPr="007A02F1">
        <w:rPr>
          <w:color w:val="FF0000"/>
          <w:sz w:val="22"/>
          <w:szCs w:val="22"/>
        </w:rPr>
        <w:t>●</w:t>
      </w:r>
      <w:r w:rsidRPr="007A02F1">
        <w:rPr>
          <w:rFonts w:hint="cs"/>
          <w:b/>
          <w:bCs/>
          <w:sz w:val="22"/>
          <w:szCs w:val="22"/>
          <w:rtl/>
        </w:rPr>
        <w:t xml:space="preserve"> עיריית קלנסווה נ' הסתדרות העובדים הכללית החדשה </w:t>
      </w:r>
      <w:r w:rsidRPr="007A02F1">
        <w:rPr>
          <w:rFonts w:hint="cs"/>
          <w:sz w:val="22"/>
          <w:szCs w:val="22"/>
          <w:rtl/>
        </w:rPr>
        <w:t xml:space="preserve">(23.02.2014) </w:t>
      </w:r>
      <w:r w:rsidRPr="007A02F1">
        <w:rPr>
          <w:sz w:val="22"/>
          <w:szCs w:val="22"/>
        </w:rPr>
        <w:t xml:space="preserve"> </w:t>
      </w:r>
      <w:r w:rsidRPr="007A02F1">
        <w:rPr>
          <w:color w:val="FF0000"/>
          <w:sz w:val="22"/>
          <w:szCs w:val="22"/>
        </w:rPr>
        <w:t>●</w:t>
      </w:r>
      <w:r>
        <w:rPr>
          <w:rFonts w:hint="cs"/>
          <w:sz w:val="22"/>
          <w:szCs w:val="22"/>
          <w:rtl/>
        </w:rPr>
        <w:t xml:space="preserve"> </w:t>
      </w:r>
      <w:r w:rsidRPr="007A02F1">
        <w:rPr>
          <w:rFonts w:hint="cs"/>
          <w:sz w:val="22"/>
          <w:szCs w:val="22"/>
          <w:rtl/>
        </w:rPr>
        <w:t>בפני כ</w:t>
      </w:r>
      <w:r w:rsidR="008F590E">
        <w:rPr>
          <w:rFonts w:hint="cs"/>
          <w:sz w:val="22"/>
          <w:szCs w:val="22"/>
          <w:rtl/>
        </w:rPr>
        <w:t>ב'</w:t>
      </w:r>
      <w:r w:rsidRPr="007A02F1">
        <w:rPr>
          <w:rFonts w:hint="cs"/>
          <w:sz w:val="22"/>
          <w:szCs w:val="22"/>
          <w:rtl/>
        </w:rPr>
        <w:t xml:space="preserve"> השופטת ד"ר אריאלה גילצר - כץ, נציג ציבור (עובדים) ד"ר אליעזר רוזנטל, נציגת ציבור (מעבידים) מר אבי אידלסון</w:t>
      </w:r>
    </w:p>
    <w:p w:rsidR="000118BE" w:rsidRPr="00FF211E" w:rsidRDefault="000118BE" w:rsidP="00A8553B">
      <w:pPr>
        <w:tabs>
          <w:tab w:val="left" w:pos="0"/>
        </w:tabs>
        <w:bidi/>
        <w:spacing w:line="360" w:lineRule="auto"/>
        <w:jc w:val="both"/>
        <w:rPr>
          <w:rFonts w:eastAsia="Calibri"/>
          <w:b/>
          <w:bCs/>
          <w:color w:val="0000FF"/>
          <w:sz w:val="22"/>
          <w:szCs w:val="22"/>
          <w:rtl/>
        </w:rPr>
      </w:pPr>
    </w:p>
    <w:p w:rsidR="000118BE" w:rsidRPr="00FF211E" w:rsidRDefault="000118BE" w:rsidP="00A8553B">
      <w:pPr>
        <w:numPr>
          <w:ilvl w:val="0"/>
          <w:numId w:val="19"/>
        </w:numPr>
        <w:tabs>
          <w:tab w:val="left" w:pos="-316"/>
        </w:tabs>
        <w:bidi/>
        <w:spacing w:line="360" w:lineRule="auto"/>
        <w:ind w:right="0" w:hanging="612"/>
        <w:jc w:val="both"/>
        <w:rPr>
          <w:rFonts w:ascii="Arial" w:hAnsi="Arial"/>
          <w:b/>
          <w:bCs/>
          <w:color w:val="0000FF"/>
          <w:sz w:val="24"/>
          <w:u w:val="single"/>
        </w:rPr>
      </w:pPr>
      <w:r w:rsidRPr="00FF211E">
        <w:rPr>
          <w:rFonts w:ascii="Arial" w:hAnsi="Arial" w:hint="cs"/>
          <w:b/>
          <w:bCs/>
          <w:color w:val="0000FF"/>
          <w:sz w:val="24"/>
          <w:u w:val="single"/>
          <w:rtl/>
        </w:rPr>
        <w:t>לא די בתקנון ארגון פורץ "על הנייר" כדי להוכיח שהוא ארגון עובדים אמיתי ודמוקרטי</w:t>
      </w:r>
    </w:p>
    <w:p w:rsidR="000118BE" w:rsidRPr="00DD37EF" w:rsidRDefault="000118BE" w:rsidP="00A8553B">
      <w:pPr>
        <w:tabs>
          <w:tab w:val="left" w:pos="-316"/>
        </w:tabs>
        <w:bidi/>
        <w:spacing w:line="360" w:lineRule="auto"/>
        <w:jc w:val="both"/>
        <w:rPr>
          <w:rFonts w:ascii="Arial" w:hAnsi="Arial"/>
          <w:b/>
          <w:bCs/>
          <w:color w:val="008000"/>
          <w:sz w:val="24"/>
          <w:u w:val="single"/>
        </w:rPr>
      </w:pPr>
    </w:p>
    <w:p w:rsidR="000118BE" w:rsidRPr="008C71A6" w:rsidRDefault="000118BE" w:rsidP="00A8553B">
      <w:pPr>
        <w:tabs>
          <w:tab w:val="left" w:pos="0"/>
        </w:tabs>
        <w:bidi/>
        <w:spacing w:line="360" w:lineRule="auto"/>
        <w:ind w:left="12"/>
        <w:jc w:val="both"/>
        <w:rPr>
          <w:rFonts w:eastAsia="Calibri"/>
          <w:b/>
          <w:bCs/>
          <w:sz w:val="24"/>
        </w:rPr>
      </w:pPr>
      <w:r w:rsidRPr="008C71A6">
        <w:rPr>
          <w:rFonts w:eastAsia="Calibri"/>
          <w:b/>
          <w:bCs/>
          <w:sz w:val="24"/>
          <w:rtl/>
        </w:rPr>
        <w:t>בי</w:t>
      </w:r>
      <w:r w:rsidRPr="008C71A6">
        <w:rPr>
          <w:rFonts w:eastAsia="Calibri" w:hint="cs"/>
          <w:b/>
          <w:bCs/>
          <w:sz w:val="24"/>
          <w:rtl/>
        </w:rPr>
        <w:t xml:space="preserve">ת-הדין האזורי לעבודה מחק בקשת צד שהגיש ארגון הגננות המחנכות לביטול השעיית הזימון לשימוע אשר נשלח לחברת הארגון, ולהצהיר כי משרד החינוך הפר את הוראות הדין בנוגע לאיסור התנכלות לעובדים על רקע התארגנות עובדים, בקובעו כי אין מדובר כלל בארגון עובדים. בית-הדין קבע כי </w:t>
      </w:r>
      <w:r w:rsidRPr="008C71A6">
        <w:rPr>
          <w:rFonts w:eastAsia="Calibri"/>
          <w:b/>
          <w:bCs/>
          <w:sz w:val="24"/>
          <w:rtl/>
        </w:rPr>
        <w:t>משמדובר בארגון חדש פורץ</w:t>
      </w:r>
      <w:r w:rsidRPr="008C71A6">
        <w:rPr>
          <w:rFonts w:eastAsia="Calibri" w:hint="cs"/>
          <w:b/>
          <w:bCs/>
          <w:sz w:val="24"/>
          <w:rtl/>
        </w:rPr>
        <w:t>,</w:t>
      </w:r>
      <w:r w:rsidRPr="008C71A6">
        <w:rPr>
          <w:rFonts w:eastAsia="Calibri"/>
          <w:b/>
          <w:bCs/>
          <w:sz w:val="24"/>
          <w:rtl/>
        </w:rPr>
        <w:t xml:space="preserve"> ולא הוכח כי המעביד ניהל עמו משא ומתן כלשהו</w:t>
      </w:r>
      <w:r w:rsidRPr="008C71A6">
        <w:rPr>
          <w:rFonts w:eastAsia="Calibri" w:hint="cs"/>
          <w:b/>
          <w:bCs/>
          <w:sz w:val="24"/>
          <w:rtl/>
        </w:rPr>
        <w:t xml:space="preserve"> או </w:t>
      </w:r>
      <w:r w:rsidRPr="008C71A6">
        <w:rPr>
          <w:rFonts w:eastAsia="Calibri"/>
          <w:b/>
          <w:bCs/>
          <w:sz w:val="24"/>
          <w:rtl/>
        </w:rPr>
        <w:t>חתם עמו על הסכמים קיבוציים</w:t>
      </w:r>
      <w:r w:rsidRPr="008C71A6">
        <w:rPr>
          <w:rFonts w:eastAsia="Calibri" w:hint="cs"/>
          <w:b/>
          <w:bCs/>
          <w:sz w:val="24"/>
          <w:rtl/>
        </w:rPr>
        <w:t xml:space="preserve">, </w:t>
      </w:r>
      <w:r w:rsidRPr="008C71A6">
        <w:rPr>
          <w:rFonts w:eastAsia="Calibri"/>
          <w:b/>
          <w:bCs/>
          <w:sz w:val="24"/>
          <w:rtl/>
        </w:rPr>
        <w:t xml:space="preserve">נטל ההוכחה בדבר היות </w:t>
      </w:r>
      <w:r w:rsidRPr="008C71A6">
        <w:rPr>
          <w:rFonts w:eastAsia="Calibri" w:hint="cs"/>
          <w:b/>
          <w:bCs/>
          <w:sz w:val="24"/>
          <w:rtl/>
        </w:rPr>
        <w:t>הארגון</w:t>
      </w:r>
      <w:r w:rsidRPr="008C71A6">
        <w:rPr>
          <w:rFonts w:eastAsia="Calibri"/>
          <w:b/>
          <w:bCs/>
          <w:sz w:val="24"/>
          <w:rtl/>
        </w:rPr>
        <w:t xml:space="preserve"> "ארגון עובדים" מוטל על </w:t>
      </w:r>
      <w:r w:rsidRPr="008C71A6">
        <w:rPr>
          <w:rFonts w:eastAsia="Calibri" w:hint="cs"/>
          <w:b/>
          <w:bCs/>
          <w:sz w:val="24"/>
          <w:rtl/>
        </w:rPr>
        <w:t>הארגון ולא על המעביד</w:t>
      </w:r>
      <w:r w:rsidRPr="008C71A6">
        <w:rPr>
          <w:rFonts w:eastAsia="Calibri"/>
          <w:b/>
          <w:bCs/>
          <w:sz w:val="24"/>
          <w:rtl/>
        </w:rPr>
        <w:t xml:space="preserve">. </w:t>
      </w:r>
      <w:r w:rsidRPr="008C71A6">
        <w:rPr>
          <w:rFonts w:eastAsia="Calibri" w:hint="cs"/>
          <w:b/>
          <w:bCs/>
          <w:sz w:val="24"/>
          <w:rtl/>
        </w:rPr>
        <w:t>על מנת שארגון יוכל להוכיח שהוא אכן ארגון עובדים יש לבחון האם הארגון מקיים א</w:t>
      </w:r>
      <w:r w:rsidRPr="008C71A6">
        <w:rPr>
          <w:rFonts w:eastAsia="Calibri"/>
          <w:b/>
          <w:bCs/>
          <w:sz w:val="24"/>
          <w:rtl/>
        </w:rPr>
        <w:t>ורח חיים דמוקרטי במוסדותיו</w:t>
      </w:r>
      <w:r w:rsidRPr="008C71A6">
        <w:rPr>
          <w:rFonts w:eastAsia="Calibri" w:hint="cs"/>
          <w:b/>
          <w:bCs/>
          <w:sz w:val="24"/>
          <w:rtl/>
        </w:rPr>
        <w:t xml:space="preserve"> שהאינדיקציות לכך הן ראשית ראיה לכך ש</w:t>
      </w:r>
      <w:r w:rsidRPr="008C71A6">
        <w:rPr>
          <w:rFonts w:eastAsia="Calibri"/>
          <w:b/>
          <w:bCs/>
          <w:sz w:val="24"/>
          <w:rtl/>
        </w:rPr>
        <w:t>נערכו בחירות להנהלה</w:t>
      </w:r>
      <w:r w:rsidRPr="008C71A6">
        <w:rPr>
          <w:rFonts w:eastAsia="Calibri" w:hint="cs"/>
          <w:b/>
          <w:bCs/>
          <w:sz w:val="24"/>
          <w:rtl/>
        </w:rPr>
        <w:t>,</w:t>
      </w:r>
      <w:r w:rsidRPr="008C71A6">
        <w:rPr>
          <w:rFonts w:eastAsia="Calibri"/>
          <w:b/>
          <w:bCs/>
          <w:sz w:val="24"/>
          <w:rtl/>
        </w:rPr>
        <w:t xml:space="preserve"> </w:t>
      </w:r>
      <w:r w:rsidRPr="008C71A6">
        <w:rPr>
          <w:rFonts w:eastAsia="Calibri" w:hint="cs"/>
          <w:b/>
          <w:bCs/>
          <w:sz w:val="24"/>
          <w:rtl/>
        </w:rPr>
        <w:t xml:space="preserve">מי </w:t>
      </w:r>
      <w:r w:rsidRPr="008C71A6">
        <w:rPr>
          <w:rFonts w:eastAsia="Calibri"/>
          <w:b/>
          <w:bCs/>
          <w:sz w:val="24"/>
          <w:rtl/>
        </w:rPr>
        <w:t xml:space="preserve">הם </w:t>
      </w:r>
      <w:r w:rsidRPr="008C71A6">
        <w:rPr>
          <w:rFonts w:eastAsia="Calibri"/>
          <w:b/>
          <w:bCs/>
          <w:sz w:val="24"/>
          <w:rtl/>
        </w:rPr>
        <w:lastRenderedPageBreak/>
        <w:t>חברי ההנהלה</w:t>
      </w:r>
      <w:r w:rsidRPr="008C71A6">
        <w:rPr>
          <w:rFonts w:eastAsia="Calibri" w:hint="cs"/>
          <w:b/>
          <w:bCs/>
          <w:sz w:val="24"/>
          <w:rtl/>
        </w:rPr>
        <w:t>,</w:t>
      </w:r>
      <w:r w:rsidRPr="008C71A6">
        <w:rPr>
          <w:rFonts w:eastAsia="Calibri"/>
          <w:b/>
          <w:bCs/>
          <w:sz w:val="24"/>
          <w:rtl/>
        </w:rPr>
        <w:t xml:space="preserve"> האם ניתנה אפשרות להביע עמדה במסגרת אספות כלליות</w:t>
      </w:r>
      <w:r w:rsidRPr="008C71A6">
        <w:rPr>
          <w:rFonts w:eastAsia="Calibri" w:hint="cs"/>
          <w:b/>
          <w:bCs/>
          <w:sz w:val="24"/>
          <w:rtl/>
        </w:rPr>
        <w:t>,</w:t>
      </w:r>
      <w:r w:rsidRPr="008C71A6">
        <w:rPr>
          <w:rFonts w:eastAsia="Calibri"/>
          <w:b/>
          <w:bCs/>
          <w:sz w:val="24"/>
          <w:rtl/>
        </w:rPr>
        <w:t xml:space="preserve"> האם הארגון קיים אספות ברחבי הארץ. </w:t>
      </w:r>
      <w:r w:rsidRPr="008C71A6">
        <w:rPr>
          <w:rFonts w:eastAsia="Calibri" w:hint="cs"/>
          <w:b/>
          <w:bCs/>
          <w:sz w:val="24"/>
          <w:rtl/>
        </w:rPr>
        <w:t xml:space="preserve">כמו כן נקבע כי </w:t>
      </w:r>
      <w:r w:rsidRPr="008C71A6">
        <w:rPr>
          <w:rFonts w:eastAsia="Calibri"/>
          <w:b/>
          <w:bCs/>
          <w:sz w:val="24"/>
          <w:rtl/>
        </w:rPr>
        <w:t>אין די בתקנון</w:t>
      </w:r>
      <w:r w:rsidRPr="008C71A6">
        <w:rPr>
          <w:rFonts w:eastAsia="Calibri" w:hint="cs"/>
          <w:b/>
          <w:bCs/>
          <w:sz w:val="24"/>
          <w:rtl/>
        </w:rPr>
        <w:t xml:space="preserve"> הארגון</w:t>
      </w:r>
      <w:r w:rsidRPr="008C71A6">
        <w:rPr>
          <w:rFonts w:eastAsia="Calibri"/>
          <w:b/>
          <w:bCs/>
          <w:sz w:val="24"/>
          <w:rtl/>
        </w:rPr>
        <w:t xml:space="preserve"> אלא נדרש שהדמוקרטיה תקבל ביטוי מעשי בחיי הארגון. </w:t>
      </w:r>
      <w:r w:rsidRPr="008C71A6">
        <w:rPr>
          <w:rFonts w:eastAsia="Calibri" w:hint="cs"/>
          <w:b/>
          <w:bCs/>
          <w:sz w:val="24"/>
          <w:rtl/>
        </w:rPr>
        <w:t>בית-הדין קבע כי בנסיבות המקרה הספציפיות</w:t>
      </w:r>
      <w:r w:rsidRPr="008C71A6">
        <w:rPr>
          <w:rFonts w:eastAsia="Calibri"/>
          <w:b/>
          <w:bCs/>
          <w:sz w:val="24"/>
          <w:rtl/>
        </w:rPr>
        <w:t>,</w:t>
      </w:r>
      <w:r w:rsidRPr="008C71A6">
        <w:rPr>
          <w:rFonts w:eastAsia="Calibri" w:hint="cs"/>
          <w:b/>
          <w:bCs/>
          <w:sz w:val="24"/>
          <w:rtl/>
        </w:rPr>
        <w:t xml:space="preserve"> הארגון לא הוכיח אף לא ראשית ראיה </w:t>
      </w:r>
      <w:r w:rsidRPr="008C71A6">
        <w:rPr>
          <w:rFonts w:eastAsia="Calibri"/>
          <w:b/>
          <w:bCs/>
          <w:sz w:val="24"/>
          <w:rtl/>
        </w:rPr>
        <w:t>כדי לתמוך בטענות בדבר "דמוקרטיה הלכה למעשה" בפעילות</w:t>
      </w:r>
      <w:r w:rsidRPr="008C71A6">
        <w:rPr>
          <w:rFonts w:eastAsia="Calibri" w:hint="cs"/>
          <w:b/>
          <w:bCs/>
          <w:sz w:val="24"/>
          <w:rtl/>
        </w:rPr>
        <w:t xml:space="preserve"> הארגון. נקבע כי א</w:t>
      </w:r>
      <w:r w:rsidRPr="008C71A6">
        <w:rPr>
          <w:rFonts w:eastAsia="Calibri" w:hint="eastAsia"/>
          <w:b/>
          <w:bCs/>
          <w:sz w:val="24"/>
          <w:rtl/>
        </w:rPr>
        <w:t>ין</w:t>
      </w:r>
      <w:r w:rsidRPr="008C71A6">
        <w:rPr>
          <w:rFonts w:eastAsia="Calibri"/>
          <w:b/>
          <w:bCs/>
          <w:sz w:val="24"/>
          <w:rtl/>
        </w:rPr>
        <w:t xml:space="preserve"> </w:t>
      </w:r>
      <w:r w:rsidRPr="008C71A6">
        <w:rPr>
          <w:rFonts w:eastAsia="Calibri" w:hint="eastAsia"/>
          <w:b/>
          <w:bCs/>
          <w:sz w:val="24"/>
          <w:rtl/>
        </w:rPr>
        <w:t>די</w:t>
      </w:r>
      <w:r w:rsidRPr="008C71A6">
        <w:rPr>
          <w:rFonts w:eastAsia="Calibri"/>
          <w:b/>
          <w:bCs/>
          <w:sz w:val="24"/>
          <w:rtl/>
        </w:rPr>
        <w:t xml:space="preserve"> </w:t>
      </w:r>
      <w:r w:rsidRPr="008C71A6">
        <w:rPr>
          <w:rFonts w:eastAsia="Calibri" w:hint="eastAsia"/>
          <w:b/>
          <w:bCs/>
          <w:sz w:val="24"/>
          <w:rtl/>
        </w:rPr>
        <w:t>בטענה</w:t>
      </w:r>
      <w:r w:rsidRPr="008C71A6">
        <w:rPr>
          <w:rFonts w:eastAsia="Calibri"/>
          <w:b/>
          <w:bCs/>
          <w:sz w:val="24"/>
          <w:rtl/>
        </w:rPr>
        <w:t xml:space="preserve"> </w:t>
      </w:r>
      <w:r w:rsidRPr="008C71A6">
        <w:rPr>
          <w:rFonts w:eastAsia="Calibri" w:hint="eastAsia"/>
          <w:b/>
          <w:bCs/>
          <w:sz w:val="24"/>
          <w:rtl/>
        </w:rPr>
        <w:t>כי</w:t>
      </w:r>
      <w:r w:rsidRPr="008C71A6">
        <w:rPr>
          <w:rFonts w:eastAsia="Calibri"/>
          <w:b/>
          <w:bCs/>
          <w:sz w:val="24"/>
          <w:rtl/>
        </w:rPr>
        <w:t xml:space="preserve"> </w:t>
      </w:r>
      <w:r w:rsidRPr="008C71A6">
        <w:rPr>
          <w:rFonts w:eastAsia="Calibri" w:hint="eastAsia"/>
          <w:b/>
          <w:bCs/>
          <w:sz w:val="24"/>
          <w:rtl/>
        </w:rPr>
        <w:t>מהוראות</w:t>
      </w:r>
      <w:r w:rsidRPr="008C71A6">
        <w:rPr>
          <w:rFonts w:eastAsia="Calibri"/>
          <w:b/>
          <w:bCs/>
          <w:sz w:val="24"/>
          <w:rtl/>
        </w:rPr>
        <w:t xml:space="preserve"> </w:t>
      </w:r>
      <w:r w:rsidRPr="008C71A6">
        <w:rPr>
          <w:rFonts w:eastAsia="Calibri" w:hint="eastAsia"/>
          <w:b/>
          <w:bCs/>
          <w:sz w:val="24"/>
          <w:rtl/>
        </w:rPr>
        <w:t>התקנון</w:t>
      </w:r>
      <w:r w:rsidRPr="008C71A6">
        <w:rPr>
          <w:rFonts w:eastAsia="Calibri"/>
          <w:b/>
          <w:bCs/>
          <w:sz w:val="24"/>
          <w:rtl/>
        </w:rPr>
        <w:t xml:space="preserve"> </w:t>
      </w:r>
      <w:r w:rsidRPr="008C71A6">
        <w:rPr>
          <w:rFonts w:eastAsia="Calibri" w:hint="eastAsia"/>
          <w:b/>
          <w:bCs/>
          <w:sz w:val="24"/>
          <w:rtl/>
        </w:rPr>
        <w:t>עולה</w:t>
      </w:r>
      <w:r w:rsidRPr="008C71A6">
        <w:rPr>
          <w:rFonts w:eastAsia="Calibri"/>
          <w:b/>
          <w:bCs/>
          <w:sz w:val="24"/>
          <w:rtl/>
        </w:rPr>
        <w:t xml:space="preserve"> </w:t>
      </w:r>
      <w:r w:rsidRPr="008C71A6">
        <w:rPr>
          <w:rFonts w:eastAsia="Calibri" w:hint="eastAsia"/>
          <w:b/>
          <w:bCs/>
          <w:sz w:val="24"/>
          <w:rtl/>
        </w:rPr>
        <w:t>כי</w:t>
      </w:r>
      <w:r w:rsidRPr="008C71A6">
        <w:rPr>
          <w:rFonts w:eastAsia="Calibri"/>
          <w:b/>
          <w:bCs/>
          <w:sz w:val="24"/>
          <w:rtl/>
        </w:rPr>
        <w:t xml:space="preserve"> </w:t>
      </w:r>
      <w:r w:rsidRPr="008C71A6">
        <w:rPr>
          <w:rFonts w:eastAsia="Calibri" w:hint="eastAsia"/>
          <w:b/>
          <w:bCs/>
          <w:sz w:val="24"/>
          <w:rtl/>
        </w:rPr>
        <w:t>החברות</w:t>
      </w:r>
      <w:r w:rsidRPr="008C71A6">
        <w:rPr>
          <w:rFonts w:eastAsia="Calibri"/>
          <w:b/>
          <w:bCs/>
          <w:sz w:val="24"/>
          <w:rtl/>
        </w:rPr>
        <w:t xml:space="preserve"> </w:t>
      </w:r>
      <w:r w:rsidRPr="008C71A6">
        <w:rPr>
          <w:rFonts w:eastAsia="Calibri" w:hint="eastAsia"/>
          <w:b/>
          <w:bCs/>
          <w:sz w:val="24"/>
          <w:rtl/>
        </w:rPr>
        <w:t>הינה</w:t>
      </w:r>
      <w:r w:rsidRPr="008C71A6">
        <w:rPr>
          <w:rFonts w:eastAsia="Calibri"/>
          <w:b/>
          <w:bCs/>
          <w:sz w:val="24"/>
          <w:rtl/>
        </w:rPr>
        <w:t xml:space="preserve"> </w:t>
      </w:r>
      <w:r w:rsidRPr="008C71A6">
        <w:rPr>
          <w:rFonts w:eastAsia="Calibri" w:hint="eastAsia"/>
          <w:b/>
          <w:bCs/>
          <w:sz w:val="24"/>
          <w:rtl/>
        </w:rPr>
        <w:t>בהתאם</w:t>
      </w:r>
      <w:r w:rsidRPr="008C71A6">
        <w:rPr>
          <w:rFonts w:eastAsia="Calibri"/>
          <w:b/>
          <w:bCs/>
          <w:sz w:val="24"/>
          <w:rtl/>
        </w:rPr>
        <w:t xml:space="preserve"> </w:t>
      </w:r>
      <w:r w:rsidRPr="008C71A6">
        <w:rPr>
          <w:rFonts w:eastAsia="Calibri" w:hint="eastAsia"/>
          <w:b/>
          <w:bCs/>
          <w:sz w:val="24"/>
          <w:rtl/>
        </w:rPr>
        <w:t>לרצונו</w:t>
      </w:r>
      <w:r w:rsidRPr="008C71A6">
        <w:rPr>
          <w:rFonts w:eastAsia="Calibri"/>
          <w:b/>
          <w:bCs/>
          <w:sz w:val="24"/>
          <w:rtl/>
        </w:rPr>
        <w:t xml:space="preserve"> </w:t>
      </w:r>
      <w:r w:rsidRPr="008C71A6">
        <w:rPr>
          <w:rFonts w:eastAsia="Calibri" w:hint="eastAsia"/>
          <w:b/>
          <w:bCs/>
          <w:sz w:val="24"/>
          <w:rtl/>
        </w:rPr>
        <w:t>החופשי</w:t>
      </w:r>
      <w:r w:rsidRPr="008C71A6">
        <w:rPr>
          <w:rFonts w:eastAsia="Calibri"/>
          <w:b/>
          <w:bCs/>
          <w:sz w:val="24"/>
          <w:rtl/>
        </w:rPr>
        <w:t xml:space="preserve"> </w:t>
      </w:r>
      <w:r w:rsidRPr="008C71A6">
        <w:rPr>
          <w:rFonts w:eastAsia="Calibri" w:hint="eastAsia"/>
          <w:b/>
          <w:bCs/>
          <w:sz w:val="24"/>
          <w:rtl/>
        </w:rPr>
        <w:t>של</w:t>
      </w:r>
      <w:r w:rsidRPr="008C71A6">
        <w:rPr>
          <w:rFonts w:eastAsia="Calibri"/>
          <w:b/>
          <w:bCs/>
          <w:sz w:val="24"/>
          <w:rtl/>
        </w:rPr>
        <w:t xml:space="preserve"> </w:t>
      </w:r>
      <w:r w:rsidRPr="008C71A6">
        <w:rPr>
          <w:rFonts w:eastAsia="Calibri" w:hint="eastAsia"/>
          <w:b/>
          <w:bCs/>
          <w:sz w:val="24"/>
          <w:rtl/>
        </w:rPr>
        <w:t>החבר</w:t>
      </w:r>
      <w:r w:rsidRPr="008C71A6">
        <w:rPr>
          <w:rFonts w:eastAsia="Calibri"/>
          <w:b/>
          <w:bCs/>
          <w:sz w:val="24"/>
          <w:rtl/>
        </w:rPr>
        <w:t xml:space="preserve"> </w:t>
      </w:r>
      <w:r w:rsidRPr="008C71A6">
        <w:rPr>
          <w:rFonts w:eastAsia="Calibri" w:hint="eastAsia"/>
          <w:b/>
          <w:bCs/>
          <w:sz w:val="24"/>
          <w:rtl/>
        </w:rPr>
        <w:t>והוא</w:t>
      </w:r>
      <w:r w:rsidRPr="008C71A6">
        <w:rPr>
          <w:rFonts w:eastAsia="Calibri"/>
          <w:b/>
          <w:bCs/>
          <w:sz w:val="24"/>
          <w:rtl/>
        </w:rPr>
        <w:t xml:space="preserve"> </w:t>
      </w:r>
      <w:r w:rsidRPr="008C71A6">
        <w:rPr>
          <w:rFonts w:eastAsia="Calibri" w:hint="eastAsia"/>
          <w:b/>
          <w:bCs/>
          <w:sz w:val="24"/>
          <w:rtl/>
        </w:rPr>
        <w:t>יכול</w:t>
      </w:r>
      <w:r w:rsidRPr="008C71A6">
        <w:rPr>
          <w:rFonts w:eastAsia="Calibri"/>
          <w:b/>
          <w:bCs/>
          <w:sz w:val="24"/>
          <w:rtl/>
        </w:rPr>
        <w:t xml:space="preserve"> </w:t>
      </w:r>
      <w:r w:rsidRPr="008C71A6">
        <w:rPr>
          <w:rFonts w:eastAsia="Calibri" w:hint="eastAsia"/>
          <w:b/>
          <w:bCs/>
          <w:sz w:val="24"/>
          <w:rtl/>
        </w:rPr>
        <w:t>לפרוש</w:t>
      </w:r>
      <w:r w:rsidRPr="008C71A6">
        <w:rPr>
          <w:rFonts w:eastAsia="Calibri"/>
          <w:b/>
          <w:bCs/>
          <w:sz w:val="24"/>
          <w:rtl/>
        </w:rPr>
        <w:t xml:space="preserve"> </w:t>
      </w:r>
      <w:r w:rsidRPr="008C71A6">
        <w:rPr>
          <w:rFonts w:eastAsia="Calibri" w:hint="eastAsia"/>
          <w:b/>
          <w:bCs/>
          <w:sz w:val="24"/>
          <w:rtl/>
        </w:rPr>
        <w:t>מהארגון</w:t>
      </w:r>
      <w:r w:rsidRPr="008C71A6">
        <w:rPr>
          <w:rFonts w:eastAsia="Calibri"/>
          <w:b/>
          <w:bCs/>
          <w:sz w:val="24"/>
          <w:rtl/>
        </w:rPr>
        <w:t xml:space="preserve"> </w:t>
      </w:r>
      <w:r w:rsidRPr="008C71A6">
        <w:rPr>
          <w:rFonts w:eastAsia="Calibri" w:hint="eastAsia"/>
          <w:b/>
          <w:bCs/>
          <w:sz w:val="24"/>
          <w:rtl/>
        </w:rPr>
        <w:t>בכל</w:t>
      </w:r>
      <w:r w:rsidRPr="008C71A6">
        <w:rPr>
          <w:rFonts w:eastAsia="Calibri"/>
          <w:b/>
          <w:bCs/>
          <w:sz w:val="24"/>
          <w:rtl/>
        </w:rPr>
        <w:t xml:space="preserve"> </w:t>
      </w:r>
      <w:r w:rsidRPr="008C71A6">
        <w:rPr>
          <w:rFonts w:eastAsia="Calibri" w:hint="eastAsia"/>
          <w:b/>
          <w:bCs/>
          <w:sz w:val="24"/>
          <w:rtl/>
        </w:rPr>
        <w:t>עת</w:t>
      </w:r>
      <w:r w:rsidRPr="008C71A6">
        <w:rPr>
          <w:rFonts w:eastAsia="Calibri"/>
          <w:b/>
          <w:bCs/>
          <w:sz w:val="24"/>
          <w:rtl/>
        </w:rPr>
        <w:t xml:space="preserve">, </w:t>
      </w:r>
      <w:r w:rsidRPr="008C71A6">
        <w:rPr>
          <w:rFonts w:eastAsia="Calibri" w:hint="eastAsia"/>
          <w:b/>
          <w:bCs/>
          <w:sz w:val="24"/>
          <w:rtl/>
        </w:rPr>
        <w:t>מבלי</w:t>
      </w:r>
      <w:r w:rsidRPr="008C71A6">
        <w:rPr>
          <w:rFonts w:eastAsia="Calibri"/>
          <w:b/>
          <w:bCs/>
          <w:sz w:val="24"/>
          <w:rtl/>
        </w:rPr>
        <w:t xml:space="preserve"> </w:t>
      </w:r>
      <w:r w:rsidRPr="008C71A6">
        <w:rPr>
          <w:rFonts w:eastAsia="Calibri" w:hint="cs"/>
          <w:b/>
          <w:bCs/>
          <w:sz w:val="24"/>
          <w:rtl/>
        </w:rPr>
        <w:t xml:space="preserve">שתוצג </w:t>
      </w:r>
      <w:r w:rsidRPr="008C71A6">
        <w:rPr>
          <w:rFonts w:eastAsia="Calibri" w:hint="eastAsia"/>
          <w:b/>
          <w:bCs/>
          <w:sz w:val="24"/>
          <w:rtl/>
        </w:rPr>
        <w:t>כל</w:t>
      </w:r>
      <w:r w:rsidRPr="008C71A6">
        <w:rPr>
          <w:rFonts w:eastAsia="Calibri"/>
          <w:b/>
          <w:bCs/>
          <w:sz w:val="24"/>
          <w:rtl/>
        </w:rPr>
        <w:t xml:space="preserve"> </w:t>
      </w:r>
      <w:r w:rsidRPr="008C71A6">
        <w:rPr>
          <w:rFonts w:eastAsia="Calibri" w:hint="eastAsia"/>
          <w:b/>
          <w:bCs/>
          <w:sz w:val="24"/>
          <w:rtl/>
        </w:rPr>
        <w:t>ראיה</w:t>
      </w:r>
      <w:r w:rsidRPr="008C71A6">
        <w:rPr>
          <w:rFonts w:eastAsia="Calibri"/>
          <w:b/>
          <w:bCs/>
          <w:sz w:val="24"/>
          <w:rtl/>
        </w:rPr>
        <w:t xml:space="preserve"> </w:t>
      </w:r>
      <w:r w:rsidRPr="008C71A6">
        <w:rPr>
          <w:rFonts w:eastAsia="Calibri" w:hint="eastAsia"/>
          <w:b/>
          <w:bCs/>
          <w:sz w:val="24"/>
          <w:rtl/>
        </w:rPr>
        <w:t>כיצד</w:t>
      </w:r>
      <w:r w:rsidRPr="008C71A6">
        <w:rPr>
          <w:rFonts w:eastAsia="Calibri"/>
          <w:b/>
          <w:bCs/>
          <w:sz w:val="24"/>
          <w:rtl/>
        </w:rPr>
        <w:t xml:space="preserve"> </w:t>
      </w:r>
      <w:r w:rsidRPr="008C71A6">
        <w:rPr>
          <w:rFonts w:eastAsia="Calibri" w:hint="eastAsia"/>
          <w:b/>
          <w:bCs/>
          <w:sz w:val="24"/>
          <w:rtl/>
        </w:rPr>
        <w:t>הצהרות</w:t>
      </w:r>
      <w:r w:rsidRPr="008C71A6">
        <w:rPr>
          <w:rFonts w:eastAsia="Calibri"/>
          <w:b/>
          <w:bCs/>
          <w:sz w:val="24"/>
          <w:rtl/>
        </w:rPr>
        <w:t xml:space="preserve"> </w:t>
      </w:r>
      <w:r w:rsidRPr="008C71A6">
        <w:rPr>
          <w:rFonts w:eastAsia="Calibri" w:hint="eastAsia"/>
          <w:b/>
          <w:bCs/>
          <w:sz w:val="24"/>
          <w:rtl/>
        </w:rPr>
        <w:t>אלה</w:t>
      </w:r>
      <w:r w:rsidRPr="008C71A6">
        <w:rPr>
          <w:rFonts w:eastAsia="Calibri"/>
          <w:b/>
          <w:bCs/>
          <w:sz w:val="24"/>
          <w:rtl/>
        </w:rPr>
        <w:t xml:space="preserve"> </w:t>
      </w:r>
      <w:r w:rsidRPr="008C71A6">
        <w:rPr>
          <w:rFonts w:eastAsia="Calibri" w:hint="eastAsia"/>
          <w:b/>
          <w:bCs/>
          <w:sz w:val="24"/>
          <w:rtl/>
        </w:rPr>
        <w:t>באות</w:t>
      </w:r>
      <w:r w:rsidRPr="008C71A6">
        <w:rPr>
          <w:rFonts w:eastAsia="Calibri"/>
          <w:b/>
          <w:bCs/>
          <w:sz w:val="24"/>
          <w:rtl/>
        </w:rPr>
        <w:t xml:space="preserve"> </w:t>
      </w:r>
      <w:r w:rsidRPr="008C71A6">
        <w:rPr>
          <w:rFonts w:eastAsia="Calibri" w:hint="eastAsia"/>
          <w:b/>
          <w:bCs/>
          <w:sz w:val="24"/>
          <w:rtl/>
        </w:rPr>
        <w:t>לידי</w:t>
      </w:r>
      <w:r w:rsidRPr="008C71A6">
        <w:rPr>
          <w:rFonts w:eastAsia="Calibri"/>
          <w:b/>
          <w:bCs/>
          <w:sz w:val="24"/>
          <w:rtl/>
        </w:rPr>
        <w:t xml:space="preserve"> </w:t>
      </w:r>
      <w:r w:rsidRPr="008C71A6">
        <w:rPr>
          <w:rFonts w:eastAsia="Calibri" w:hint="eastAsia"/>
          <w:b/>
          <w:bCs/>
          <w:sz w:val="24"/>
          <w:rtl/>
        </w:rPr>
        <w:t>יישום</w:t>
      </w:r>
      <w:r w:rsidRPr="008C71A6">
        <w:rPr>
          <w:rFonts w:eastAsia="Calibri"/>
          <w:b/>
          <w:bCs/>
          <w:sz w:val="24"/>
          <w:rtl/>
        </w:rPr>
        <w:t xml:space="preserve">, </w:t>
      </w:r>
      <w:r w:rsidRPr="008C71A6">
        <w:rPr>
          <w:rFonts w:eastAsia="Calibri" w:hint="eastAsia"/>
          <w:b/>
          <w:bCs/>
          <w:sz w:val="24"/>
          <w:rtl/>
        </w:rPr>
        <w:t>הלכה</w:t>
      </w:r>
      <w:r w:rsidRPr="008C71A6">
        <w:rPr>
          <w:rFonts w:eastAsia="Calibri"/>
          <w:b/>
          <w:bCs/>
          <w:sz w:val="24"/>
          <w:rtl/>
        </w:rPr>
        <w:t xml:space="preserve"> </w:t>
      </w:r>
      <w:r w:rsidRPr="008C71A6">
        <w:rPr>
          <w:rFonts w:eastAsia="Calibri" w:hint="eastAsia"/>
          <w:b/>
          <w:bCs/>
          <w:sz w:val="24"/>
          <w:rtl/>
        </w:rPr>
        <w:t>למעשה</w:t>
      </w:r>
      <w:r w:rsidRPr="008C71A6">
        <w:rPr>
          <w:rFonts w:eastAsia="Calibri"/>
          <w:b/>
          <w:bCs/>
          <w:sz w:val="24"/>
          <w:rtl/>
        </w:rPr>
        <w:t xml:space="preserve">, </w:t>
      </w:r>
      <w:r w:rsidRPr="008C71A6">
        <w:rPr>
          <w:rFonts w:eastAsia="Calibri" w:hint="eastAsia"/>
          <w:b/>
          <w:bCs/>
          <w:sz w:val="24"/>
          <w:rtl/>
        </w:rPr>
        <w:t>בחיי</w:t>
      </w:r>
      <w:r w:rsidRPr="008C71A6">
        <w:rPr>
          <w:rFonts w:eastAsia="Calibri"/>
          <w:b/>
          <w:bCs/>
          <w:sz w:val="24"/>
          <w:rtl/>
        </w:rPr>
        <w:t xml:space="preserve"> </w:t>
      </w:r>
      <w:r w:rsidRPr="008C71A6">
        <w:rPr>
          <w:rFonts w:eastAsia="Calibri" w:hint="eastAsia"/>
          <w:b/>
          <w:bCs/>
          <w:sz w:val="24"/>
          <w:rtl/>
        </w:rPr>
        <w:t>הארגון</w:t>
      </w:r>
      <w:r w:rsidRPr="008C71A6">
        <w:rPr>
          <w:rFonts w:eastAsia="Calibri"/>
          <w:b/>
          <w:bCs/>
          <w:sz w:val="24"/>
          <w:rtl/>
        </w:rPr>
        <w:t>.</w:t>
      </w:r>
      <w:r w:rsidRPr="008C71A6">
        <w:rPr>
          <w:rFonts w:eastAsia="Calibri" w:hint="cs"/>
          <w:b/>
          <w:bCs/>
          <w:sz w:val="24"/>
          <w:rtl/>
        </w:rPr>
        <w:t xml:space="preserve"> כמו כן נקבע כי לא הוכח כי הארגון פנה בפנייה </w:t>
      </w:r>
      <w:r w:rsidRPr="008C71A6">
        <w:rPr>
          <w:rFonts w:eastAsia="Calibri" w:hint="eastAsia"/>
          <w:b/>
          <w:bCs/>
          <w:sz w:val="24"/>
          <w:rtl/>
        </w:rPr>
        <w:t>עניינית</w:t>
      </w:r>
      <w:r w:rsidRPr="008C71A6">
        <w:rPr>
          <w:rFonts w:eastAsia="Calibri"/>
          <w:b/>
          <w:bCs/>
          <w:sz w:val="24"/>
          <w:rtl/>
        </w:rPr>
        <w:t xml:space="preserve"> </w:t>
      </w:r>
      <w:r w:rsidRPr="008C71A6">
        <w:rPr>
          <w:rFonts w:eastAsia="Calibri" w:hint="eastAsia"/>
          <w:b/>
          <w:bCs/>
          <w:sz w:val="24"/>
          <w:rtl/>
        </w:rPr>
        <w:t>לגוף</w:t>
      </w:r>
      <w:r w:rsidRPr="008C71A6">
        <w:rPr>
          <w:rFonts w:eastAsia="Calibri"/>
          <w:b/>
          <w:bCs/>
          <w:sz w:val="24"/>
          <w:rtl/>
        </w:rPr>
        <w:t xml:space="preserve"> </w:t>
      </w:r>
      <w:r w:rsidRPr="008C71A6">
        <w:rPr>
          <w:rFonts w:eastAsia="Calibri" w:hint="eastAsia"/>
          <w:b/>
          <w:bCs/>
          <w:sz w:val="24"/>
          <w:rtl/>
        </w:rPr>
        <w:t>עמו</w:t>
      </w:r>
      <w:r w:rsidRPr="008C71A6">
        <w:rPr>
          <w:rFonts w:eastAsia="Calibri"/>
          <w:b/>
          <w:bCs/>
          <w:sz w:val="24"/>
          <w:rtl/>
        </w:rPr>
        <w:t xml:space="preserve"> </w:t>
      </w:r>
      <w:r w:rsidRPr="008C71A6">
        <w:rPr>
          <w:rFonts w:eastAsia="Calibri" w:hint="eastAsia"/>
          <w:b/>
          <w:bCs/>
          <w:sz w:val="24"/>
          <w:rtl/>
        </w:rPr>
        <w:t>אמור</w:t>
      </w:r>
      <w:r w:rsidRPr="008C71A6">
        <w:rPr>
          <w:rFonts w:eastAsia="Calibri"/>
          <w:b/>
          <w:bCs/>
          <w:sz w:val="24"/>
          <w:rtl/>
        </w:rPr>
        <w:t xml:space="preserve"> </w:t>
      </w:r>
      <w:r w:rsidRPr="008C71A6">
        <w:rPr>
          <w:rFonts w:eastAsia="Calibri" w:hint="eastAsia"/>
          <w:b/>
          <w:bCs/>
          <w:sz w:val="24"/>
          <w:rtl/>
        </w:rPr>
        <w:t>הארגון</w:t>
      </w:r>
      <w:r w:rsidRPr="008C71A6">
        <w:rPr>
          <w:rFonts w:eastAsia="Calibri"/>
          <w:b/>
          <w:bCs/>
          <w:sz w:val="24"/>
          <w:rtl/>
        </w:rPr>
        <w:t xml:space="preserve"> </w:t>
      </w:r>
      <w:r w:rsidRPr="008C71A6">
        <w:rPr>
          <w:rFonts w:eastAsia="Calibri" w:hint="eastAsia"/>
          <w:b/>
          <w:bCs/>
          <w:sz w:val="24"/>
          <w:rtl/>
        </w:rPr>
        <w:t>לשאת</w:t>
      </w:r>
      <w:r w:rsidRPr="008C71A6">
        <w:rPr>
          <w:rFonts w:eastAsia="Calibri"/>
          <w:b/>
          <w:bCs/>
          <w:sz w:val="24"/>
          <w:rtl/>
        </w:rPr>
        <w:t xml:space="preserve"> </w:t>
      </w:r>
      <w:r w:rsidRPr="008C71A6">
        <w:rPr>
          <w:rFonts w:eastAsia="Calibri" w:hint="eastAsia"/>
          <w:b/>
          <w:bCs/>
          <w:sz w:val="24"/>
          <w:rtl/>
        </w:rPr>
        <w:t>ולתת</w:t>
      </w:r>
      <w:r w:rsidRPr="008C71A6">
        <w:rPr>
          <w:rFonts w:eastAsia="Calibri"/>
          <w:b/>
          <w:bCs/>
          <w:sz w:val="24"/>
          <w:rtl/>
        </w:rPr>
        <w:t xml:space="preserve"> </w:t>
      </w:r>
      <w:r w:rsidRPr="008C71A6">
        <w:rPr>
          <w:rFonts w:eastAsia="Calibri" w:hint="eastAsia"/>
          <w:b/>
          <w:bCs/>
          <w:sz w:val="24"/>
          <w:rtl/>
        </w:rPr>
        <w:t>בעניינים</w:t>
      </w:r>
      <w:r w:rsidRPr="008C71A6">
        <w:rPr>
          <w:rFonts w:eastAsia="Calibri"/>
          <w:b/>
          <w:bCs/>
          <w:sz w:val="24"/>
          <w:rtl/>
        </w:rPr>
        <w:t xml:space="preserve"> </w:t>
      </w:r>
      <w:r w:rsidRPr="008C71A6">
        <w:rPr>
          <w:rFonts w:eastAsia="Calibri" w:hint="eastAsia"/>
          <w:b/>
          <w:bCs/>
          <w:sz w:val="24"/>
          <w:rtl/>
        </w:rPr>
        <w:t>אותם</w:t>
      </w:r>
      <w:r w:rsidRPr="008C71A6">
        <w:rPr>
          <w:rFonts w:eastAsia="Calibri"/>
          <w:b/>
          <w:bCs/>
          <w:sz w:val="24"/>
          <w:rtl/>
        </w:rPr>
        <w:t xml:space="preserve"> </w:t>
      </w:r>
      <w:r w:rsidRPr="008C71A6">
        <w:rPr>
          <w:rFonts w:eastAsia="Calibri" w:hint="eastAsia"/>
          <w:b/>
          <w:bCs/>
          <w:sz w:val="24"/>
          <w:rtl/>
        </w:rPr>
        <w:t>מבקש</w:t>
      </w:r>
      <w:r w:rsidRPr="008C71A6">
        <w:rPr>
          <w:rFonts w:eastAsia="Calibri"/>
          <w:b/>
          <w:bCs/>
          <w:sz w:val="24"/>
          <w:rtl/>
        </w:rPr>
        <w:t xml:space="preserve"> </w:t>
      </w:r>
      <w:r w:rsidRPr="008C71A6">
        <w:rPr>
          <w:rFonts w:eastAsia="Calibri" w:hint="eastAsia"/>
          <w:b/>
          <w:bCs/>
          <w:sz w:val="24"/>
          <w:rtl/>
        </w:rPr>
        <w:t>הוא</w:t>
      </w:r>
      <w:r w:rsidRPr="008C71A6">
        <w:rPr>
          <w:rFonts w:eastAsia="Calibri"/>
          <w:b/>
          <w:bCs/>
          <w:sz w:val="24"/>
          <w:rtl/>
        </w:rPr>
        <w:t xml:space="preserve"> </w:t>
      </w:r>
      <w:r w:rsidRPr="008C71A6">
        <w:rPr>
          <w:rFonts w:eastAsia="Calibri" w:hint="eastAsia"/>
          <w:b/>
          <w:bCs/>
          <w:sz w:val="24"/>
          <w:rtl/>
        </w:rPr>
        <w:t>לקדם</w:t>
      </w:r>
      <w:r w:rsidRPr="008C71A6">
        <w:rPr>
          <w:rFonts w:eastAsia="Calibri"/>
          <w:b/>
          <w:bCs/>
          <w:sz w:val="24"/>
          <w:rtl/>
        </w:rPr>
        <w:t xml:space="preserve"> </w:t>
      </w:r>
      <w:r w:rsidRPr="008C71A6">
        <w:rPr>
          <w:rFonts w:eastAsia="Calibri" w:hint="eastAsia"/>
          <w:b/>
          <w:bCs/>
          <w:sz w:val="24"/>
          <w:rtl/>
        </w:rPr>
        <w:t>כארגון</w:t>
      </w:r>
      <w:r w:rsidRPr="008C71A6">
        <w:rPr>
          <w:rFonts w:eastAsia="Calibri"/>
          <w:b/>
          <w:bCs/>
          <w:sz w:val="24"/>
          <w:rtl/>
        </w:rPr>
        <w:t xml:space="preserve"> </w:t>
      </w:r>
      <w:r w:rsidRPr="008C71A6">
        <w:rPr>
          <w:rFonts w:eastAsia="Calibri" w:hint="eastAsia"/>
          <w:b/>
          <w:bCs/>
          <w:sz w:val="24"/>
          <w:rtl/>
        </w:rPr>
        <w:t>עובדים</w:t>
      </w:r>
      <w:r w:rsidRPr="008C71A6">
        <w:rPr>
          <w:rFonts w:eastAsia="Calibri"/>
          <w:b/>
          <w:bCs/>
          <w:sz w:val="24"/>
          <w:rtl/>
        </w:rPr>
        <w:t xml:space="preserve">, </w:t>
      </w:r>
      <w:r w:rsidRPr="008C71A6">
        <w:rPr>
          <w:rFonts w:eastAsia="Calibri" w:hint="cs"/>
          <w:b/>
          <w:bCs/>
          <w:sz w:val="24"/>
          <w:rtl/>
        </w:rPr>
        <w:t xml:space="preserve">ומשלא </w:t>
      </w:r>
      <w:r w:rsidRPr="008C71A6">
        <w:rPr>
          <w:rFonts w:eastAsia="Calibri" w:hint="eastAsia"/>
          <w:b/>
          <w:bCs/>
          <w:sz w:val="24"/>
          <w:rtl/>
        </w:rPr>
        <w:t>הוכח</w:t>
      </w:r>
      <w:r w:rsidRPr="008C71A6">
        <w:rPr>
          <w:rFonts w:eastAsia="Calibri"/>
          <w:b/>
          <w:bCs/>
          <w:sz w:val="24"/>
          <w:rtl/>
        </w:rPr>
        <w:t xml:space="preserve"> </w:t>
      </w:r>
      <w:r w:rsidRPr="008C71A6">
        <w:rPr>
          <w:rFonts w:eastAsia="Calibri" w:hint="cs"/>
          <w:b/>
          <w:bCs/>
          <w:sz w:val="24"/>
          <w:rtl/>
        </w:rPr>
        <w:t xml:space="preserve">מהו </w:t>
      </w:r>
      <w:r w:rsidRPr="008C71A6">
        <w:rPr>
          <w:rFonts w:eastAsia="Calibri" w:hint="eastAsia"/>
          <w:b/>
          <w:bCs/>
          <w:sz w:val="24"/>
          <w:rtl/>
        </w:rPr>
        <w:t>מספר</w:t>
      </w:r>
      <w:r w:rsidRPr="008C71A6">
        <w:rPr>
          <w:rFonts w:eastAsia="Calibri"/>
          <w:b/>
          <w:bCs/>
          <w:sz w:val="24"/>
          <w:rtl/>
        </w:rPr>
        <w:t xml:space="preserve"> </w:t>
      </w:r>
      <w:r w:rsidRPr="008C71A6">
        <w:rPr>
          <w:rFonts w:eastAsia="Calibri" w:hint="eastAsia"/>
          <w:b/>
          <w:bCs/>
          <w:sz w:val="24"/>
          <w:rtl/>
        </w:rPr>
        <w:t>הגננות</w:t>
      </w:r>
      <w:r w:rsidRPr="008C71A6">
        <w:rPr>
          <w:rFonts w:eastAsia="Calibri"/>
          <w:b/>
          <w:bCs/>
          <w:sz w:val="24"/>
          <w:rtl/>
        </w:rPr>
        <w:t xml:space="preserve"> </w:t>
      </w:r>
      <w:r w:rsidRPr="008C71A6">
        <w:rPr>
          <w:rFonts w:eastAsia="Calibri" w:hint="eastAsia"/>
          <w:b/>
          <w:bCs/>
          <w:sz w:val="24"/>
          <w:rtl/>
        </w:rPr>
        <w:t>אשר</w:t>
      </w:r>
      <w:r w:rsidRPr="008C71A6">
        <w:rPr>
          <w:rFonts w:eastAsia="Calibri"/>
          <w:b/>
          <w:bCs/>
          <w:sz w:val="24"/>
          <w:rtl/>
        </w:rPr>
        <w:t xml:space="preserve"> </w:t>
      </w:r>
      <w:r w:rsidRPr="008C71A6">
        <w:rPr>
          <w:rFonts w:eastAsia="Calibri" w:hint="eastAsia"/>
          <w:b/>
          <w:bCs/>
          <w:sz w:val="24"/>
          <w:rtl/>
        </w:rPr>
        <w:t>הצטרפו</w:t>
      </w:r>
      <w:r w:rsidRPr="008C71A6">
        <w:rPr>
          <w:rFonts w:eastAsia="Calibri"/>
          <w:b/>
          <w:bCs/>
          <w:sz w:val="24"/>
          <w:rtl/>
        </w:rPr>
        <w:t xml:space="preserve"> </w:t>
      </w:r>
      <w:r w:rsidRPr="008C71A6">
        <w:rPr>
          <w:rFonts w:eastAsia="Calibri" w:hint="eastAsia"/>
          <w:b/>
          <w:bCs/>
          <w:sz w:val="24"/>
          <w:rtl/>
        </w:rPr>
        <w:t>לארגון</w:t>
      </w:r>
      <w:r w:rsidRPr="008C71A6">
        <w:rPr>
          <w:rFonts w:eastAsia="Calibri"/>
          <w:b/>
          <w:bCs/>
          <w:sz w:val="24"/>
          <w:rtl/>
        </w:rPr>
        <w:t xml:space="preserve">,  </w:t>
      </w:r>
      <w:r w:rsidRPr="008C71A6">
        <w:rPr>
          <w:rFonts w:eastAsia="Calibri" w:hint="eastAsia"/>
          <w:b/>
          <w:bCs/>
          <w:sz w:val="24"/>
          <w:rtl/>
        </w:rPr>
        <w:t>לא</w:t>
      </w:r>
      <w:r w:rsidRPr="008C71A6">
        <w:rPr>
          <w:rFonts w:eastAsia="Calibri"/>
          <w:b/>
          <w:bCs/>
          <w:sz w:val="24"/>
          <w:rtl/>
        </w:rPr>
        <w:t xml:space="preserve"> </w:t>
      </w:r>
      <w:r w:rsidRPr="008C71A6">
        <w:rPr>
          <w:rFonts w:eastAsia="Calibri" w:hint="eastAsia"/>
          <w:b/>
          <w:bCs/>
          <w:sz w:val="24"/>
          <w:rtl/>
        </w:rPr>
        <w:t>הוצגו</w:t>
      </w:r>
      <w:r w:rsidRPr="008C71A6">
        <w:rPr>
          <w:rFonts w:eastAsia="Calibri"/>
          <w:b/>
          <w:bCs/>
          <w:sz w:val="24"/>
          <w:rtl/>
        </w:rPr>
        <w:t xml:space="preserve"> </w:t>
      </w:r>
      <w:r w:rsidRPr="008C71A6">
        <w:rPr>
          <w:rFonts w:eastAsia="Calibri" w:hint="eastAsia"/>
          <w:b/>
          <w:bCs/>
          <w:sz w:val="24"/>
          <w:rtl/>
        </w:rPr>
        <w:t>כל</w:t>
      </w:r>
      <w:r w:rsidRPr="008C71A6">
        <w:rPr>
          <w:rFonts w:eastAsia="Calibri"/>
          <w:b/>
          <w:bCs/>
          <w:sz w:val="24"/>
          <w:rtl/>
        </w:rPr>
        <w:t xml:space="preserve"> </w:t>
      </w:r>
      <w:r w:rsidRPr="008C71A6">
        <w:rPr>
          <w:rFonts w:eastAsia="Calibri" w:hint="eastAsia"/>
          <w:b/>
          <w:bCs/>
          <w:sz w:val="24"/>
          <w:rtl/>
        </w:rPr>
        <w:t>טופסי</w:t>
      </w:r>
      <w:r w:rsidRPr="008C71A6">
        <w:rPr>
          <w:rFonts w:eastAsia="Calibri"/>
          <w:b/>
          <w:bCs/>
          <w:sz w:val="24"/>
          <w:rtl/>
        </w:rPr>
        <w:t xml:space="preserve"> </w:t>
      </w:r>
      <w:r w:rsidRPr="008C71A6">
        <w:rPr>
          <w:rFonts w:eastAsia="Calibri" w:hint="eastAsia"/>
          <w:b/>
          <w:bCs/>
          <w:sz w:val="24"/>
          <w:rtl/>
        </w:rPr>
        <w:t>הצטרפות</w:t>
      </w:r>
      <w:r w:rsidRPr="008C71A6">
        <w:rPr>
          <w:rFonts w:eastAsia="Calibri"/>
          <w:b/>
          <w:bCs/>
          <w:sz w:val="24"/>
          <w:rtl/>
        </w:rPr>
        <w:t xml:space="preserve"> </w:t>
      </w:r>
      <w:r w:rsidRPr="008C71A6">
        <w:rPr>
          <w:rFonts w:eastAsia="Calibri" w:hint="cs"/>
          <w:b/>
          <w:bCs/>
          <w:sz w:val="24"/>
          <w:rtl/>
        </w:rPr>
        <w:t>חברים לארגון,</w:t>
      </w:r>
      <w:r w:rsidRPr="008C71A6">
        <w:rPr>
          <w:rFonts w:eastAsia="Calibri"/>
          <w:b/>
          <w:bCs/>
          <w:sz w:val="24"/>
          <w:rtl/>
        </w:rPr>
        <w:t xml:space="preserve"> </w:t>
      </w:r>
      <w:r w:rsidRPr="008C71A6">
        <w:rPr>
          <w:rFonts w:eastAsia="Calibri" w:hint="cs"/>
          <w:b/>
          <w:bCs/>
          <w:sz w:val="24"/>
          <w:rtl/>
        </w:rPr>
        <w:t xml:space="preserve">לא הוכחה התנהלות קיבוצית, ולא ניתן להגדיר את הארגון כארגון עובדים. כמו כן נקבע כי על אף שנקבע בפרשת אלקטרה כי איסור הפגיעה בתנאי עבודה כולל בין יתר תנאי העבודה את הזכות להתארגנות, תנאי מקדים הוא שהארגון הוא אכן ארגון עובדים וכי יש להוכיח שאכן נעשו פעולות ממשיות לצורך הקמת ארגון עובדים. </w:t>
      </w:r>
    </w:p>
    <w:p w:rsidR="000118BE" w:rsidRPr="007A02F1" w:rsidRDefault="000118BE" w:rsidP="00A8553B">
      <w:pPr>
        <w:tabs>
          <w:tab w:val="left" w:pos="0"/>
        </w:tabs>
        <w:bidi/>
        <w:spacing w:line="360" w:lineRule="auto"/>
        <w:ind w:left="12"/>
        <w:jc w:val="both"/>
        <w:rPr>
          <w:rFonts w:eastAsia="Calibri"/>
          <w:b/>
          <w:bCs/>
          <w:sz w:val="22"/>
          <w:szCs w:val="22"/>
          <w:rtl/>
        </w:rPr>
      </w:pPr>
      <w:r>
        <w:rPr>
          <w:rFonts w:ascii="David" w:hAnsi="David"/>
          <w:color w:val="000000"/>
          <w:sz w:val="22"/>
          <w:szCs w:val="22"/>
          <w:rtl/>
        </w:rPr>
        <w:t>סק (ת"א) 38474-05-12</w:t>
      </w:r>
      <w:r w:rsidRPr="007D1A23">
        <w:rPr>
          <w:color w:val="FF0000"/>
          <w:sz w:val="22"/>
          <w:szCs w:val="22"/>
        </w:rPr>
        <w:t xml:space="preserve">● </w:t>
      </w:r>
      <w:r w:rsidRPr="007D1A23">
        <w:rPr>
          <w:rFonts w:hint="cs"/>
          <w:color w:val="2B003A"/>
          <w:sz w:val="22"/>
          <w:szCs w:val="22"/>
          <w:rtl/>
        </w:rPr>
        <w:t xml:space="preserve"> </w:t>
      </w:r>
      <w:r>
        <w:rPr>
          <w:rFonts w:ascii="David" w:hAnsi="David"/>
          <w:color w:val="000000"/>
          <w:sz w:val="22"/>
          <w:szCs w:val="22"/>
          <w:rtl/>
        </w:rPr>
        <w:t>ארגון הגננות המחנכות נ' מדינת ישראל - משרד החינוך</w:t>
      </w:r>
      <w:r w:rsidRPr="0048743E">
        <w:rPr>
          <w:rFonts w:ascii="David" w:hAnsi="David" w:hint="cs"/>
          <w:color w:val="000000"/>
          <w:sz w:val="22"/>
          <w:szCs w:val="22"/>
          <w:rtl/>
        </w:rPr>
        <w:t xml:space="preserve"> </w:t>
      </w:r>
      <w:r>
        <w:rPr>
          <w:rFonts w:ascii="David" w:hAnsi="David" w:hint="cs"/>
          <w:color w:val="000000"/>
          <w:sz w:val="22"/>
          <w:szCs w:val="22"/>
          <w:rtl/>
        </w:rPr>
        <w:t xml:space="preserve"> </w:t>
      </w:r>
      <w:r w:rsidRPr="0048743E">
        <w:rPr>
          <w:rFonts w:ascii="David" w:hAnsi="David" w:hint="cs"/>
          <w:color w:val="000000"/>
          <w:sz w:val="22"/>
          <w:szCs w:val="22"/>
          <w:rtl/>
        </w:rPr>
        <w:t>(</w:t>
      </w:r>
      <w:r>
        <w:rPr>
          <w:rFonts w:ascii="David" w:hAnsi="David" w:hint="cs"/>
          <w:color w:val="000000"/>
          <w:sz w:val="22"/>
          <w:szCs w:val="22"/>
          <w:rtl/>
        </w:rPr>
        <w:t>22</w:t>
      </w:r>
      <w:r w:rsidRPr="0048743E">
        <w:rPr>
          <w:rFonts w:ascii="David" w:hAnsi="David" w:hint="cs"/>
          <w:color w:val="000000"/>
          <w:sz w:val="22"/>
          <w:szCs w:val="22"/>
          <w:rtl/>
        </w:rPr>
        <w:t>.</w:t>
      </w:r>
      <w:r>
        <w:rPr>
          <w:rFonts w:ascii="David" w:hAnsi="David" w:hint="cs"/>
          <w:color w:val="000000"/>
          <w:sz w:val="22"/>
          <w:szCs w:val="22"/>
          <w:rtl/>
        </w:rPr>
        <w:t>5</w:t>
      </w:r>
      <w:r w:rsidRPr="0048743E">
        <w:rPr>
          <w:rFonts w:ascii="David" w:hAnsi="David" w:hint="cs"/>
          <w:color w:val="000000"/>
          <w:sz w:val="22"/>
          <w:szCs w:val="22"/>
          <w:rtl/>
        </w:rPr>
        <w:t>.13</w:t>
      </w:r>
      <w:r w:rsidRPr="007D1A23">
        <w:rPr>
          <w:rFonts w:hint="cs"/>
          <w:color w:val="2B003A"/>
          <w:sz w:val="22"/>
          <w:szCs w:val="22"/>
          <w:rtl/>
        </w:rPr>
        <w:t xml:space="preserve">) </w:t>
      </w:r>
      <w:r w:rsidRPr="007D1A23">
        <w:rPr>
          <w:color w:val="FF0000"/>
          <w:sz w:val="22"/>
          <w:szCs w:val="22"/>
        </w:rPr>
        <w:t>●</w:t>
      </w:r>
      <w:r w:rsidRPr="007D1A23">
        <w:rPr>
          <w:rFonts w:hint="cs"/>
          <w:color w:val="2B003A"/>
          <w:sz w:val="22"/>
          <w:szCs w:val="22"/>
          <w:rtl/>
        </w:rPr>
        <w:t xml:space="preserve"> </w:t>
      </w:r>
      <w:r w:rsidRPr="0048743E">
        <w:rPr>
          <w:rFonts w:ascii="David" w:hAnsi="David" w:hint="cs"/>
          <w:color w:val="000000"/>
          <w:sz w:val="22"/>
          <w:szCs w:val="22"/>
          <w:rtl/>
        </w:rPr>
        <w:t xml:space="preserve">בפני כבוד </w:t>
      </w:r>
      <w:r>
        <w:rPr>
          <w:rFonts w:ascii="David" w:hAnsi="David" w:hint="cs"/>
          <w:color w:val="000000"/>
          <w:sz w:val="22"/>
          <w:szCs w:val="22"/>
          <w:rtl/>
        </w:rPr>
        <w:t>השופטת רוית צדיק,  נ.ע. מר אריה המר, נ.מ. הגב' חגית פורת</w:t>
      </w:r>
    </w:p>
    <w:p w:rsidR="000118BE" w:rsidRDefault="000118BE" w:rsidP="00DF3697">
      <w:pPr>
        <w:tabs>
          <w:tab w:val="left" w:pos="0"/>
        </w:tabs>
        <w:bidi/>
        <w:jc w:val="both"/>
        <w:rPr>
          <w:rFonts w:eastAsia="Calibri"/>
          <w:b/>
          <w:bCs/>
          <w:sz w:val="22"/>
          <w:szCs w:val="22"/>
          <w:rtl/>
        </w:rPr>
      </w:pPr>
    </w:p>
    <w:p w:rsidR="00940B27" w:rsidRPr="00FF211E" w:rsidRDefault="00940B27" w:rsidP="00A8553B">
      <w:pPr>
        <w:numPr>
          <w:ilvl w:val="0"/>
          <w:numId w:val="19"/>
        </w:numPr>
        <w:tabs>
          <w:tab w:val="left" w:pos="-334"/>
        </w:tabs>
        <w:bidi/>
        <w:spacing w:line="360" w:lineRule="auto"/>
        <w:ind w:right="0" w:hanging="612"/>
        <w:jc w:val="both"/>
        <w:rPr>
          <w:rFonts w:ascii="Arial" w:hAnsi="Arial"/>
          <w:b/>
          <w:bCs/>
          <w:color w:val="0000FF"/>
          <w:sz w:val="24"/>
          <w:u w:val="single"/>
          <w:rtl/>
        </w:rPr>
      </w:pPr>
      <w:r w:rsidRPr="00FF211E">
        <w:rPr>
          <w:rFonts w:ascii="Arial" w:hAnsi="Arial"/>
          <w:b/>
          <w:bCs/>
          <w:color w:val="0000FF"/>
          <w:sz w:val="24"/>
          <w:u w:val="single"/>
          <w:rtl/>
        </w:rPr>
        <w:t>אין בהסכמ</w:t>
      </w:r>
      <w:r w:rsidRPr="00FF211E">
        <w:rPr>
          <w:rFonts w:ascii="Arial" w:hAnsi="Arial" w:hint="cs"/>
          <w:b/>
          <w:bCs/>
          <w:color w:val="0000FF"/>
          <w:sz w:val="24"/>
          <w:u w:val="single"/>
          <w:rtl/>
        </w:rPr>
        <w:t>ת חברת "טלקום" עם נציגי הטכנאים</w:t>
      </w:r>
      <w:r w:rsidRPr="00FF211E">
        <w:rPr>
          <w:rFonts w:ascii="Arial" w:hAnsi="Arial"/>
          <w:b/>
          <w:bCs/>
          <w:color w:val="0000FF"/>
          <w:sz w:val="24"/>
          <w:u w:val="single"/>
          <w:rtl/>
        </w:rPr>
        <w:t xml:space="preserve"> לע</w:t>
      </w:r>
      <w:r w:rsidRPr="00FF211E">
        <w:rPr>
          <w:rFonts w:ascii="Arial" w:hAnsi="Arial" w:hint="cs"/>
          <w:b/>
          <w:bCs/>
          <w:color w:val="0000FF"/>
          <w:sz w:val="24"/>
          <w:u w:val="single"/>
          <w:rtl/>
        </w:rPr>
        <w:t>ריכת</w:t>
      </w:r>
      <w:r w:rsidRPr="00FF211E">
        <w:rPr>
          <w:rFonts w:ascii="Arial" w:hAnsi="Arial"/>
          <w:b/>
          <w:bCs/>
          <w:color w:val="0000FF"/>
          <w:sz w:val="24"/>
          <w:u w:val="single"/>
          <w:rtl/>
        </w:rPr>
        <w:t xml:space="preserve"> בחירות כדי ל</w:t>
      </w:r>
      <w:r w:rsidRPr="00FF211E">
        <w:rPr>
          <w:rFonts w:ascii="Arial" w:hAnsi="Arial" w:hint="cs"/>
          <w:b/>
          <w:bCs/>
          <w:color w:val="0000FF"/>
          <w:sz w:val="24"/>
          <w:u w:val="single"/>
          <w:rtl/>
        </w:rPr>
        <w:t>פסול</w:t>
      </w:r>
      <w:r w:rsidRPr="00FF211E">
        <w:rPr>
          <w:rFonts w:ascii="Arial" w:hAnsi="Arial"/>
          <w:b/>
          <w:bCs/>
          <w:color w:val="0000FF"/>
          <w:sz w:val="24"/>
          <w:u w:val="single"/>
          <w:rtl/>
        </w:rPr>
        <w:t xml:space="preserve"> את תוקפם של טפסי ההצטרפות</w:t>
      </w:r>
      <w:r w:rsidRPr="00FF211E">
        <w:rPr>
          <w:rFonts w:ascii="Arial" w:hAnsi="Arial" w:hint="cs"/>
          <w:b/>
          <w:bCs/>
          <w:color w:val="0000FF"/>
          <w:sz w:val="24"/>
          <w:u w:val="single"/>
          <w:rtl/>
        </w:rPr>
        <w:t xml:space="preserve"> לארגון היציג</w:t>
      </w:r>
    </w:p>
    <w:p w:rsidR="00940B27" w:rsidRDefault="00940B27" w:rsidP="00DF3697">
      <w:pPr>
        <w:tabs>
          <w:tab w:val="left" w:pos="-290"/>
        </w:tabs>
        <w:ind w:left="-490"/>
        <w:jc w:val="both"/>
        <w:rPr>
          <w:b/>
          <w:bCs/>
          <w:szCs w:val="28"/>
          <w:rtl/>
        </w:rPr>
      </w:pPr>
    </w:p>
    <w:p w:rsidR="00940B27" w:rsidRPr="005E2243" w:rsidRDefault="00940B27" w:rsidP="00A8553B">
      <w:pPr>
        <w:tabs>
          <w:tab w:val="left" w:pos="-110"/>
        </w:tabs>
        <w:bidi/>
        <w:spacing w:line="360" w:lineRule="auto"/>
        <w:jc w:val="both"/>
        <w:rPr>
          <w:b/>
          <w:bCs/>
          <w:rtl/>
        </w:rPr>
      </w:pPr>
      <w:r w:rsidRPr="005E2243">
        <w:rPr>
          <w:rFonts w:hint="cs"/>
          <w:b/>
          <w:bCs/>
          <w:rtl/>
        </w:rPr>
        <w:t xml:space="preserve">בית הדין קיבל </w:t>
      </w:r>
      <w:r w:rsidRPr="005E2243">
        <w:rPr>
          <w:b/>
          <w:bCs/>
          <w:rtl/>
        </w:rPr>
        <w:t xml:space="preserve">בקשת צד בסכסוך קיבוצי </w:t>
      </w:r>
      <w:r w:rsidRPr="005E2243">
        <w:rPr>
          <w:rFonts w:hint="cs"/>
          <w:b/>
          <w:bCs/>
          <w:rtl/>
        </w:rPr>
        <w:t xml:space="preserve">מטעם </w:t>
      </w:r>
      <w:r w:rsidRPr="005E2243">
        <w:rPr>
          <w:b/>
          <w:bCs/>
          <w:rtl/>
        </w:rPr>
        <w:t xml:space="preserve">ארגון </w:t>
      </w:r>
      <w:r w:rsidRPr="005E2243">
        <w:rPr>
          <w:rFonts w:hint="cs"/>
          <w:b/>
          <w:bCs/>
          <w:rtl/>
        </w:rPr>
        <w:t xml:space="preserve">"כוח לעובדים" והורה לחברת "טלקום" - </w:t>
      </w:r>
      <w:r w:rsidRPr="005E2243">
        <w:rPr>
          <w:b/>
          <w:bCs/>
          <w:rtl/>
        </w:rPr>
        <w:t>חברה פרטית המספקת שירותי טכנאים לחברת "הוט"</w:t>
      </w:r>
      <w:r w:rsidRPr="005E2243">
        <w:rPr>
          <w:rFonts w:hint="cs"/>
          <w:b/>
          <w:bCs/>
          <w:rtl/>
        </w:rPr>
        <w:t xml:space="preserve"> -</w:t>
      </w:r>
      <w:r w:rsidRPr="005E2243">
        <w:rPr>
          <w:b/>
          <w:bCs/>
          <w:rtl/>
        </w:rPr>
        <w:t xml:space="preserve"> שלא להתערב במהלכי ההתארגנות של העובדים, להימנע מכל התנכלות ו/או השפעה ו/או הרתעה </w:t>
      </w:r>
      <w:r w:rsidRPr="005E2243">
        <w:rPr>
          <w:rFonts w:hint="cs"/>
          <w:b/>
          <w:bCs/>
          <w:rtl/>
        </w:rPr>
        <w:t xml:space="preserve">ו/או איומים </w:t>
      </w:r>
      <w:r w:rsidRPr="005E2243">
        <w:rPr>
          <w:b/>
          <w:bCs/>
          <w:rtl/>
        </w:rPr>
        <w:t xml:space="preserve">כלפי מובילי ההתארגנות במשיבה ולהשיבם לעבודה. </w:t>
      </w:r>
    </w:p>
    <w:p w:rsidR="00940B27" w:rsidRPr="005E2243" w:rsidRDefault="00940B27" w:rsidP="00A8553B">
      <w:pPr>
        <w:tabs>
          <w:tab w:val="left" w:pos="-110"/>
        </w:tabs>
        <w:bidi/>
        <w:spacing w:line="360" w:lineRule="auto"/>
        <w:jc w:val="both"/>
        <w:rPr>
          <w:b/>
          <w:bCs/>
          <w:rtl/>
        </w:rPr>
      </w:pPr>
      <w:r w:rsidRPr="005E2243">
        <w:rPr>
          <w:b/>
          <w:bCs/>
          <w:rtl/>
        </w:rPr>
        <w:t>במסגרת הליך קודם</w:t>
      </w:r>
      <w:r w:rsidRPr="005E2243">
        <w:rPr>
          <w:rFonts w:hint="cs"/>
          <w:b/>
          <w:bCs/>
          <w:rtl/>
        </w:rPr>
        <w:t xml:space="preserve">, הסכימו הצדדים </w:t>
      </w:r>
      <w:r w:rsidRPr="005E2243">
        <w:rPr>
          <w:b/>
          <w:bCs/>
          <w:rtl/>
        </w:rPr>
        <w:t>כי תוצאת הצבעה של העובדים תכריע את גורל היציגות וככל שיתברר ש</w:t>
      </w:r>
      <w:r w:rsidRPr="005E2243">
        <w:rPr>
          <w:rFonts w:hint="cs"/>
          <w:b/>
          <w:bCs/>
          <w:rtl/>
        </w:rPr>
        <w:t>"כוח לעובדים"</w:t>
      </w:r>
      <w:r w:rsidRPr="005E2243">
        <w:rPr>
          <w:b/>
          <w:bCs/>
          <w:rtl/>
        </w:rPr>
        <w:t xml:space="preserve"> הנו הארגון היציג </w:t>
      </w:r>
      <w:r w:rsidRPr="005E2243">
        <w:rPr>
          <w:rFonts w:hint="cs"/>
          <w:b/>
          <w:bCs/>
          <w:rtl/>
        </w:rPr>
        <w:t>ב"טלקום"</w:t>
      </w:r>
      <w:r w:rsidRPr="005E2243">
        <w:rPr>
          <w:b/>
          <w:bCs/>
          <w:rtl/>
        </w:rPr>
        <w:t xml:space="preserve">, </w:t>
      </w:r>
      <w:r w:rsidRPr="005E2243">
        <w:rPr>
          <w:rFonts w:hint="cs"/>
          <w:b/>
          <w:bCs/>
          <w:rtl/>
        </w:rPr>
        <w:t>החברה</w:t>
      </w:r>
      <w:r w:rsidRPr="005E2243">
        <w:rPr>
          <w:b/>
          <w:bCs/>
          <w:rtl/>
        </w:rPr>
        <w:t xml:space="preserve"> מתחייבת לפתוח לאלתר במו"מ עמה במטרה לחתום על הסכם קיבוצי. עוד הוסכם</w:t>
      </w:r>
      <w:r w:rsidRPr="005E2243">
        <w:rPr>
          <w:rFonts w:hint="cs"/>
          <w:b/>
          <w:bCs/>
          <w:rtl/>
        </w:rPr>
        <w:t>,</w:t>
      </w:r>
      <w:r w:rsidRPr="005E2243">
        <w:rPr>
          <w:b/>
          <w:bCs/>
          <w:rtl/>
        </w:rPr>
        <w:t xml:space="preserve"> כי הצדדים יקיימו את הבחירות בהגינות ותוך שמירה על כל הכללים. </w:t>
      </w:r>
      <w:r w:rsidRPr="005E2243">
        <w:rPr>
          <w:rFonts w:hint="cs"/>
          <w:b/>
          <w:bCs/>
          <w:rtl/>
        </w:rPr>
        <w:t xml:space="preserve">עיקר טענות ארגון "כוח לעובדים" בבקשה דנן </w:t>
      </w:r>
      <w:r w:rsidRPr="005E2243">
        <w:rPr>
          <w:b/>
          <w:bCs/>
          <w:rtl/>
        </w:rPr>
        <w:t xml:space="preserve">הן כי </w:t>
      </w:r>
      <w:r w:rsidRPr="005E2243">
        <w:rPr>
          <w:rFonts w:hint="cs"/>
          <w:b/>
          <w:bCs/>
          <w:rtl/>
        </w:rPr>
        <w:t>חברת "טלקום"</w:t>
      </w:r>
      <w:r w:rsidRPr="005E2243">
        <w:rPr>
          <w:b/>
          <w:bCs/>
          <w:rtl/>
        </w:rPr>
        <w:t xml:space="preserve"> פעלה בחוסר תום לב והכשילה את הליך הבחירות</w:t>
      </w:r>
      <w:r w:rsidRPr="005E2243">
        <w:rPr>
          <w:rFonts w:hint="cs"/>
          <w:b/>
          <w:bCs/>
          <w:rtl/>
        </w:rPr>
        <w:t xml:space="preserve"> בהחתמת עובדים על טפסי ביטול ההצטרפות לארגון ובהעצמת קשיים על העובדים שהתארגנו.</w:t>
      </w:r>
    </w:p>
    <w:p w:rsidR="00940B27" w:rsidRPr="005E2243" w:rsidRDefault="00940B27" w:rsidP="00A8553B">
      <w:pPr>
        <w:tabs>
          <w:tab w:val="left" w:pos="-110"/>
        </w:tabs>
        <w:bidi/>
        <w:spacing w:line="360" w:lineRule="auto"/>
        <w:jc w:val="both"/>
        <w:rPr>
          <w:b/>
          <w:bCs/>
          <w:rtl/>
        </w:rPr>
      </w:pPr>
      <w:r w:rsidRPr="005E2243">
        <w:rPr>
          <w:rFonts w:hint="cs"/>
          <w:b/>
          <w:bCs/>
          <w:rtl/>
        </w:rPr>
        <w:t xml:space="preserve">נפסק כי </w:t>
      </w:r>
      <w:r w:rsidRPr="005E2243">
        <w:rPr>
          <w:b/>
          <w:bCs/>
          <w:rtl/>
        </w:rPr>
        <w:t>אין בהליך הבחירות כדי לחסום את בחינת עמידת המבקשת בתנאי ההתארגנות על פי הדין, ו</w:t>
      </w:r>
      <w:r w:rsidRPr="005E2243">
        <w:rPr>
          <w:rFonts w:hint="cs"/>
          <w:b/>
          <w:bCs/>
          <w:rtl/>
        </w:rPr>
        <w:t xml:space="preserve">כי </w:t>
      </w:r>
      <w:r w:rsidRPr="005E2243">
        <w:rPr>
          <w:b/>
          <w:bCs/>
          <w:rtl/>
        </w:rPr>
        <w:t>אין בהסכמה לערוך בחירות כדי לאיין את תוקפם של טפסי ההצטרפות</w:t>
      </w:r>
      <w:r w:rsidRPr="005E2243">
        <w:rPr>
          <w:rFonts w:hint="cs"/>
          <w:b/>
          <w:bCs/>
          <w:rtl/>
        </w:rPr>
        <w:t>.</w:t>
      </w:r>
      <w:r w:rsidRPr="005E2243">
        <w:rPr>
          <w:b/>
          <w:bCs/>
          <w:rtl/>
        </w:rPr>
        <w:t xml:space="preserve"> </w:t>
      </w:r>
      <w:r w:rsidRPr="005E2243">
        <w:rPr>
          <w:rFonts w:hint="cs"/>
          <w:b/>
          <w:bCs/>
          <w:rtl/>
        </w:rPr>
        <w:t xml:space="preserve">בית הדין בחן איפוא </w:t>
      </w:r>
      <w:r w:rsidRPr="005E2243">
        <w:rPr>
          <w:b/>
          <w:bCs/>
          <w:rtl/>
        </w:rPr>
        <w:t xml:space="preserve">את מעמד </w:t>
      </w:r>
      <w:r w:rsidRPr="005E2243">
        <w:rPr>
          <w:rFonts w:hint="cs"/>
          <w:b/>
          <w:bCs/>
          <w:rtl/>
        </w:rPr>
        <w:t>"כוח לעובדים"</w:t>
      </w:r>
      <w:r w:rsidRPr="005E2243">
        <w:rPr>
          <w:b/>
          <w:bCs/>
          <w:rtl/>
        </w:rPr>
        <w:t xml:space="preserve"> מכח טפסי ההצטרפות</w:t>
      </w:r>
      <w:r w:rsidRPr="005E2243">
        <w:rPr>
          <w:rFonts w:hint="cs"/>
          <w:b/>
          <w:bCs/>
          <w:rtl/>
        </w:rPr>
        <w:t>,</w:t>
      </w:r>
      <w:r w:rsidRPr="005E2243">
        <w:rPr>
          <w:b/>
          <w:bCs/>
          <w:rtl/>
        </w:rPr>
        <w:t xml:space="preserve"> בציינו כי די בהסכמת שליש מהעובדים כדי לעמוד בדרישת החוק לצורך קביעת ארגון עובדים כארגון היציג. </w:t>
      </w:r>
      <w:r w:rsidRPr="005E2243">
        <w:rPr>
          <w:rFonts w:hint="cs"/>
          <w:b/>
          <w:bCs/>
          <w:rtl/>
        </w:rPr>
        <w:t>בית הדין</w:t>
      </w:r>
      <w:r w:rsidRPr="005E2243">
        <w:rPr>
          <w:b/>
          <w:bCs/>
          <w:rtl/>
        </w:rPr>
        <w:t xml:space="preserve"> ציין כי ככלל, יש לכבד את בקשות העובדים לביטול הצטרפותם, אלא שבמקרה זה נראה כי בקשות הביטול מקורן בהתערבות פסולה של </w:t>
      </w:r>
      <w:r w:rsidRPr="005E2243">
        <w:rPr>
          <w:rFonts w:hint="cs"/>
          <w:b/>
          <w:bCs/>
          <w:rtl/>
        </w:rPr>
        <w:t>חברת "טלקום"</w:t>
      </w:r>
      <w:r w:rsidRPr="005E2243">
        <w:rPr>
          <w:b/>
          <w:bCs/>
          <w:rtl/>
        </w:rPr>
        <w:t xml:space="preserve"> בהתארגנות העובדים</w:t>
      </w:r>
      <w:r w:rsidRPr="005E2243">
        <w:rPr>
          <w:rFonts w:hint="cs"/>
          <w:b/>
          <w:bCs/>
          <w:rtl/>
        </w:rPr>
        <w:t>.</w:t>
      </w:r>
      <w:r w:rsidRPr="005E2243">
        <w:rPr>
          <w:b/>
          <w:bCs/>
          <w:rtl/>
        </w:rPr>
        <w:t xml:space="preserve"> אשר על כן, התקבלה טענתה הלכאורית של המבקשת כי בידיה 135 טפסי הצטרפות כשרים</w:t>
      </w:r>
      <w:r w:rsidRPr="005E2243">
        <w:rPr>
          <w:rFonts w:hint="cs"/>
          <w:b/>
          <w:bCs/>
          <w:rtl/>
        </w:rPr>
        <w:t xml:space="preserve"> ו</w:t>
      </w:r>
      <w:r w:rsidRPr="005E2243">
        <w:rPr>
          <w:b/>
          <w:bCs/>
          <w:rtl/>
        </w:rPr>
        <w:t>כי היא</w:t>
      </w:r>
      <w:r w:rsidRPr="005E2243">
        <w:rPr>
          <w:rFonts w:hint="cs"/>
          <w:b/>
          <w:bCs/>
          <w:rtl/>
        </w:rPr>
        <w:t xml:space="preserve"> עומדת</w:t>
      </w:r>
      <w:r w:rsidRPr="005E2243">
        <w:rPr>
          <w:b/>
          <w:bCs/>
          <w:rtl/>
        </w:rPr>
        <w:t xml:space="preserve"> בתנאי השליש הנדרש על מנת להכיר בה כארגון היציג </w:t>
      </w:r>
      <w:r w:rsidRPr="005E2243">
        <w:rPr>
          <w:rFonts w:hint="cs"/>
          <w:b/>
          <w:bCs/>
          <w:rtl/>
        </w:rPr>
        <w:t>ב"טלקום"</w:t>
      </w:r>
      <w:r w:rsidRPr="005E2243">
        <w:rPr>
          <w:b/>
          <w:bCs/>
          <w:rtl/>
        </w:rPr>
        <w:t xml:space="preserve">. </w:t>
      </w:r>
    </w:p>
    <w:p w:rsidR="00940B27" w:rsidRPr="005E2243" w:rsidRDefault="00940B27" w:rsidP="00A8553B">
      <w:pPr>
        <w:tabs>
          <w:tab w:val="left" w:pos="-110"/>
        </w:tabs>
        <w:bidi/>
        <w:spacing w:line="360" w:lineRule="auto"/>
        <w:jc w:val="both"/>
        <w:rPr>
          <w:b/>
          <w:bCs/>
          <w:rtl/>
        </w:rPr>
      </w:pPr>
      <w:r w:rsidRPr="005E2243">
        <w:rPr>
          <w:b/>
          <w:bCs/>
          <w:rtl/>
        </w:rPr>
        <w:lastRenderedPageBreak/>
        <w:t xml:space="preserve">אשר לפיטורי חברי הנציגות, הלכה היא כי בעת התארגנות, פיטורי עובד הפעיל בהתארגנות צריכים להיבחן באופן דווקני, כאשר הנטל להוכיח את ההצדקה לפיטורי העובד מוטל על המעסיק. בענייננו, הוכח כי לכאורה קיים קשר בין פיטוריו של יו"ר נציגות העובדים לבין פעילותו לקידום ההתארגנות </w:t>
      </w:r>
      <w:r w:rsidRPr="005E2243">
        <w:rPr>
          <w:rFonts w:hint="cs"/>
          <w:b/>
          <w:bCs/>
          <w:rtl/>
        </w:rPr>
        <w:t>וכי קיימת</w:t>
      </w:r>
      <w:r w:rsidRPr="005E2243">
        <w:rPr>
          <w:b/>
          <w:bCs/>
          <w:rtl/>
        </w:rPr>
        <w:t xml:space="preserve"> סמיכות זמנים</w:t>
      </w:r>
      <w:r w:rsidRPr="005E2243">
        <w:rPr>
          <w:rFonts w:hint="cs"/>
          <w:b/>
          <w:bCs/>
          <w:rtl/>
        </w:rPr>
        <w:t xml:space="preserve"> צורמת</w:t>
      </w:r>
      <w:r w:rsidRPr="005E2243">
        <w:rPr>
          <w:b/>
          <w:bCs/>
          <w:rtl/>
        </w:rPr>
        <w:t xml:space="preserve"> בין הפעילות בהתארגנות להחלטות הפיטורים</w:t>
      </w:r>
      <w:r w:rsidRPr="005E2243">
        <w:rPr>
          <w:rFonts w:hint="cs"/>
          <w:b/>
          <w:bCs/>
          <w:rtl/>
        </w:rPr>
        <w:t xml:space="preserve">. כמו כן, </w:t>
      </w:r>
      <w:r w:rsidRPr="005E2243">
        <w:rPr>
          <w:b/>
          <w:bCs/>
          <w:rtl/>
        </w:rPr>
        <w:t xml:space="preserve"> </w:t>
      </w:r>
      <w:r w:rsidRPr="005E2243">
        <w:rPr>
          <w:rFonts w:hint="cs"/>
          <w:b/>
          <w:bCs/>
          <w:rtl/>
        </w:rPr>
        <w:t>נעדרה</w:t>
      </w:r>
      <w:r w:rsidRPr="005E2243">
        <w:rPr>
          <w:b/>
          <w:bCs/>
          <w:rtl/>
        </w:rPr>
        <w:t xml:space="preserve"> הוכחה כי קיימת סיבה אמיתית המצדיקה את פיטוריהם</w:t>
      </w:r>
      <w:r w:rsidRPr="005E2243">
        <w:rPr>
          <w:rFonts w:hint="cs"/>
          <w:b/>
          <w:bCs/>
          <w:rtl/>
        </w:rPr>
        <w:t xml:space="preserve"> ונראה ש</w:t>
      </w:r>
      <w:r w:rsidRPr="005E2243">
        <w:rPr>
          <w:b/>
          <w:bCs/>
          <w:rtl/>
        </w:rPr>
        <w:t xml:space="preserve">מעשי </w:t>
      </w:r>
      <w:r w:rsidRPr="005E2243">
        <w:rPr>
          <w:rFonts w:hint="cs"/>
          <w:b/>
          <w:bCs/>
          <w:rtl/>
        </w:rPr>
        <w:t>"טלקום"</w:t>
      </w:r>
      <w:r w:rsidRPr="005E2243">
        <w:rPr>
          <w:b/>
          <w:bCs/>
          <w:rtl/>
        </w:rPr>
        <w:t xml:space="preserve"> נעשו</w:t>
      </w:r>
      <w:r w:rsidRPr="005E2243">
        <w:rPr>
          <w:rFonts w:hint="cs"/>
          <w:b/>
          <w:bCs/>
          <w:rtl/>
        </w:rPr>
        <w:t xml:space="preserve"> </w:t>
      </w:r>
      <w:r w:rsidRPr="005E2243">
        <w:rPr>
          <w:b/>
          <w:bCs/>
          <w:rtl/>
        </w:rPr>
        <w:t>בחוסר תום לב</w:t>
      </w:r>
      <w:r w:rsidRPr="005E2243">
        <w:rPr>
          <w:rFonts w:hint="cs"/>
          <w:b/>
          <w:bCs/>
          <w:rtl/>
        </w:rPr>
        <w:t>.</w:t>
      </w:r>
      <w:r w:rsidRPr="005E2243">
        <w:rPr>
          <w:b/>
          <w:bCs/>
          <w:rtl/>
        </w:rPr>
        <w:t xml:space="preserve"> </w:t>
      </w:r>
    </w:p>
    <w:p w:rsidR="00940B27" w:rsidRPr="005E2243" w:rsidRDefault="00940B27" w:rsidP="00A8553B">
      <w:pPr>
        <w:tabs>
          <w:tab w:val="left" w:pos="-110"/>
        </w:tabs>
        <w:bidi/>
        <w:spacing w:line="360" w:lineRule="auto"/>
        <w:jc w:val="both"/>
        <w:rPr>
          <w:b/>
          <w:bCs/>
          <w:rtl/>
        </w:rPr>
      </w:pPr>
      <w:r w:rsidRPr="005E2243">
        <w:rPr>
          <w:b/>
          <w:bCs/>
          <w:rtl/>
        </w:rPr>
        <w:t xml:space="preserve">לאור כל האמור, </w:t>
      </w:r>
      <w:r w:rsidRPr="005E2243">
        <w:rPr>
          <w:rFonts w:hint="cs"/>
          <w:b/>
          <w:bCs/>
          <w:rtl/>
        </w:rPr>
        <w:t>בית הדין הורה ל"טלקום":</w:t>
      </w:r>
      <w:r w:rsidRPr="005E2243">
        <w:rPr>
          <w:b/>
          <w:bCs/>
          <w:rtl/>
        </w:rPr>
        <w:t xml:space="preserve"> </w:t>
      </w:r>
    </w:p>
    <w:p w:rsidR="00940B27" w:rsidRDefault="00940B27" w:rsidP="00A8553B">
      <w:pPr>
        <w:numPr>
          <w:ilvl w:val="0"/>
          <w:numId w:val="32"/>
        </w:numPr>
        <w:tabs>
          <w:tab w:val="left" w:pos="-110"/>
        </w:tabs>
        <w:bidi/>
        <w:spacing w:line="360" w:lineRule="auto"/>
        <w:jc w:val="both"/>
        <w:rPr>
          <w:b/>
          <w:bCs/>
        </w:rPr>
      </w:pPr>
      <w:r w:rsidRPr="005E2243">
        <w:rPr>
          <w:b/>
          <w:bCs/>
          <w:rtl/>
        </w:rPr>
        <w:t>שלא להתערב במהלכי ההתארגנות, לרבות להימנע מכל פנייה לעובדים בכל הנוגע להתארגנות, השלכותיה ומימוש זכות ההתארגנות, בין במישרין ובין בעקיפין</w:t>
      </w:r>
      <w:r w:rsidRPr="005E2243">
        <w:rPr>
          <w:rFonts w:hint="cs"/>
          <w:b/>
          <w:bCs/>
          <w:rtl/>
        </w:rPr>
        <w:t xml:space="preserve">, בכלל זה איסור </w:t>
      </w:r>
      <w:r w:rsidRPr="005E2243">
        <w:rPr>
          <w:b/>
          <w:bCs/>
          <w:rtl/>
        </w:rPr>
        <w:t>לפעול להחתמת העובדים על טפסי ביטול, בין באופן ישיר</w:t>
      </w:r>
      <w:r w:rsidRPr="005E2243">
        <w:rPr>
          <w:rFonts w:hint="cs"/>
          <w:b/>
          <w:bCs/>
          <w:rtl/>
        </w:rPr>
        <w:t xml:space="preserve"> ו</w:t>
      </w:r>
      <w:r w:rsidRPr="005E2243">
        <w:rPr>
          <w:b/>
          <w:bCs/>
          <w:rtl/>
        </w:rPr>
        <w:t>בין באופן עקיף</w:t>
      </w:r>
      <w:r w:rsidRPr="005E2243">
        <w:rPr>
          <w:rFonts w:hint="cs"/>
          <w:b/>
          <w:bCs/>
          <w:rtl/>
        </w:rPr>
        <w:t>.</w:t>
      </w:r>
    </w:p>
    <w:p w:rsidR="00940B27" w:rsidRPr="005E2243" w:rsidRDefault="00940B27" w:rsidP="00A8553B">
      <w:pPr>
        <w:numPr>
          <w:ilvl w:val="0"/>
          <w:numId w:val="32"/>
        </w:numPr>
        <w:tabs>
          <w:tab w:val="left" w:pos="-110"/>
        </w:tabs>
        <w:bidi/>
        <w:spacing w:line="360" w:lineRule="auto"/>
        <w:jc w:val="both"/>
        <w:rPr>
          <w:b/>
          <w:bCs/>
        </w:rPr>
      </w:pPr>
      <w:r w:rsidRPr="005E2243">
        <w:rPr>
          <w:rFonts w:hint="cs"/>
          <w:b/>
          <w:bCs/>
          <w:rtl/>
        </w:rPr>
        <w:t>להימנע</w:t>
      </w:r>
      <w:r w:rsidRPr="005E2243">
        <w:rPr>
          <w:b/>
          <w:bCs/>
          <w:rtl/>
        </w:rPr>
        <w:t xml:space="preserve"> מכל התנכלות ו/או השפעה ו/או הרתעה כלפי חברי הנציגות הזמנית ומובילי ההתארגנות </w:t>
      </w:r>
      <w:r w:rsidRPr="005E2243">
        <w:rPr>
          <w:rFonts w:hint="cs"/>
          <w:b/>
          <w:bCs/>
          <w:rtl/>
        </w:rPr>
        <w:t xml:space="preserve">ולהשיב את העובדים </w:t>
      </w:r>
      <w:r w:rsidRPr="005E2243">
        <w:rPr>
          <w:b/>
          <w:bCs/>
          <w:rtl/>
        </w:rPr>
        <w:t>לעבודה בתפקידיהם הקודמים ובתנאי ההעסקה, מעמד וסמכויות, כפי שהיו טרם הועברו</w:t>
      </w:r>
      <w:r w:rsidRPr="005E2243">
        <w:rPr>
          <w:rFonts w:hint="cs"/>
          <w:b/>
          <w:bCs/>
          <w:rtl/>
        </w:rPr>
        <w:t xml:space="preserve"> מתפקידם.</w:t>
      </w:r>
    </w:p>
    <w:p w:rsidR="00940B27" w:rsidRPr="00B22820" w:rsidRDefault="00940B27" w:rsidP="00A8553B">
      <w:pPr>
        <w:tabs>
          <w:tab w:val="left" w:pos="70"/>
        </w:tabs>
        <w:bidi/>
        <w:spacing w:line="360" w:lineRule="auto"/>
        <w:ind w:left="44"/>
        <w:jc w:val="both"/>
        <w:rPr>
          <w:sz w:val="22"/>
          <w:szCs w:val="22"/>
          <w:rtl/>
          <w:lang w:eastAsia="he-IL"/>
        </w:rPr>
      </w:pPr>
      <w:r w:rsidRPr="00B22820">
        <w:rPr>
          <w:rFonts w:hint="cs"/>
          <w:sz w:val="22"/>
          <w:szCs w:val="22"/>
          <w:rtl/>
        </w:rPr>
        <w:t xml:space="preserve">סק (ב"ש) 43453-11-13 </w:t>
      </w:r>
      <w:r w:rsidRPr="00B22820">
        <w:rPr>
          <w:color w:val="FF0000"/>
          <w:sz w:val="22"/>
          <w:szCs w:val="22"/>
        </w:rPr>
        <w:t>●</w:t>
      </w:r>
      <w:r w:rsidRPr="00B22820">
        <w:rPr>
          <w:rFonts w:hint="cs"/>
          <w:b/>
          <w:bCs/>
          <w:color w:val="FF0000"/>
          <w:sz w:val="22"/>
          <w:szCs w:val="22"/>
          <w:rtl/>
        </w:rPr>
        <w:t xml:space="preserve"> </w:t>
      </w:r>
      <w:r w:rsidRPr="00B22820">
        <w:rPr>
          <w:rFonts w:hint="cs"/>
          <w:b/>
          <w:bCs/>
          <w:sz w:val="22"/>
          <w:szCs w:val="22"/>
          <w:rtl/>
        </w:rPr>
        <w:t>כוח לעובדים- ארגון עובדים דמוקרטי נ' ת.א. טלקום בע"מ</w:t>
      </w:r>
      <w:r w:rsidRPr="00B22820">
        <w:rPr>
          <w:rFonts w:hint="cs"/>
          <w:sz w:val="22"/>
          <w:szCs w:val="22"/>
          <w:rtl/>
        </w:rPr>
        <w:t xml:space="preserve"> (31.12.13) </w:t>
      </w:r>
      <w:r w:rsidRPr="00B22820">
        <w:rPr>
          <w:sz w:val="22"/>
          <w:szCs w:val="22"/>
        </w:rPr>
        <w:t xml:space="preserve"> </w:t>
      </w:r>
      <w:r w:rsidRPr="00B22820">
        <w:rPr>
          <w:color w:val="FF0000"/>
          <w:sz w:val="22"/>
          <w:szCs w:val="22"/>
        </w:rPr>
        <w:t>●</w:t>
      </w:r>
      <w:r w:rsidRPr="00B22820">
        <w:rPr>
          <w:rFonts w:hint="cs"/>
          <w:sz w:val="22"/>
          <w:szCs w:val="22"/>
          <w:rtl/>
        </w:rPr>
        <w:t>בפני כבוד השופטת יעל אנגלברג שהם, נ.מ. מר משה אהרוני, נ.ע. מר ארנולד גרוס</w:t>
      </w:r>
    </w:p>
    <w:p w:rsidR="00DF3697" w:rsidRPr="00FF211E" w:rsidRDefault="00DF3697" w:rsidP="00DF3697">
      <w:pPr>
        <w:tabs>
          <w:tab w:val="left" w:pos="0"/>
        </w:tabs>
        <w:bidi/>
        <w:spacing w:line="360" w:lineRule="auto"/>
        <w:jc w:val="both"/>
        <w:rPr>
          <w:rFonts w:eastAsia="Calibri"/>
          <w:b/>
          <w:bCs/>
          <w:color w:val="0000FF"/>
          <w:sz w:val="22"/>
          <w:szCs w:val="22"/>
        </w:rPr>
      </w:pPr>
    </w:p>
    <w:p w:rsidR="000118BE" w:rsidRPr="00FF211E" w:rsidRDefault="000118BE" w:rsidP="00A8553B">
      <w:pPr>
        <w:pStyle w:val="3"/>
        <w:rPr>
          <w:color w:val="0000FF"/>
        </w:rPr>
      </w:pPr>
      <w:bookmarkStart w:id="190" w:name="_Toc228152733"/>
      <w:bookmarkStart w:id="191" w:name="_Toc383530645"/>
      <w:bookmarkStart w:id="192" w:name="_Toc383587191"/>
      <w:bookmarkStart w:id="193" w:name="_Toc383587396"/>
      <w:bookmarkStart w:id="194" w:name="_Toc383587838"/>
      <w:r w:rsidRPr="00FF211E">
        <w:rPr>
          <w:rFonts w:hint="cs"/>
          <w:color w:val="0000FF"/>
          <w:rtl/>
        </w:rPr>
        <w:t>דיני שביתות</w:t>
      </w:r>
      <w:bookmarkEnd w:id="190"/>
      <w:bookmarkEnd w:id="191"/>
      <w:bookmarkEnd w:id="192"/>
      <w:bookmarkEnd w:id="193"/>
      <w:bookmarkEnd w:id="194"/>
    </w:p>
    <w:p w:rsidR="000118BE" w:rsidRDefault="000118BE" w:rsidP="00DF3697">
      <w:pPr>
        <w:bidi/>
        <w:jc w:val="both"/>
        <w:outlineLvl w:val="1"/>
        <w:rPr>
          <w:rFonts w:ascii="David" w:hAnsi="David"/>
          <w:b/>
          <w:bCs/>
          <w:sz w:val="36"/>
          <w:szCs w:val="30"/>
          <w:u w:val="single"/>
        </w:rPr>
      </w:pPr>
    </w:p>
    <w:p w:rsidR="000118BE" w:rsidRDefault="000118BE" w:rsidP="00A8553B">
      <w:pPr>
        <w:numPr>
          <w:ilvl w:val="0"/>
          <w:numId w:val="9"/>
        </w:numPr>
        <w:bidi/>
        <w:spacing w:line="360" w:lineRule="auto"/>
        <w:jc w:val="both"/>
        <w:outlineLvl w:val="2"/>
        <w:rPr>
          <w:rFonts w:ascii="David" w:hAnsi="David"/>
          <w:b/>
          <w:bCs/>
          <w:color w:val="FF0000"/>
          <w:sz w:val="32"/>
          <w:szCs w:val="26"/>
          <w:u w:val="single"/>
        </w:rPr>
      </w:pPr>
      <w:bookmarkStart w:id="195" w:name="_Toc228152734"/>
      <w:bookmarkStart w:id="196" w:name="_Toc383530646"/>
      <w:bookmarkStart w:id="197" w:name="_Toc383587192"/>
      <w:bookmarkStart w:id="198" w:name="_Toc383587397"/>
      <w:bookmarkStart w:id="199" w:name="_Toc383587839"/>
      <w:r>
        <w:rPr>
          <w:rFonts w:ascii="David" w:hAnsi="David" w:hint="cs"/>
          <w:b/>
          <w:bCs/>
          <w:color w:val="FF0000"/>
          <w:sz w:val="32"/>
          <w:szCs w:val="26"/>
          <w:u w:val="single"/>
          <w:rtl/>
        </w:rPr>
        <w:t>הגבלת זכות השביתה</w:t>
      </w:r>
      <w:bookmarkEnd w:id="195"/>
      <w:bookmarkEnd w:id="196"/>
      <w:bookmarkEnd w:id="197"/>
      <w:bookmarkEnd w:id="198"/>
      <w:bookmarkEnd w:id="199"/>
    </w:p>
    <w:p w:rsidR="004432F3" w:rsidRDefault="004432F3" w:rsidP="00DF3697">
      <w:pPr>
        <w:bidi/>
        <w:ind w:left="360"/>
        <w:jc w:val="both"/>
        <w:outlineLvl w:val="2"/>
        <w:rPr>
          <w:rFonts w:ascii="David" w:hAnsi="David"/>
          <w:b/>
          <w:bCs/>
          <w:color w:val="FF0000"/>
          <w:sz w:val="32"/>
          <w:szCs w:val="26"/>
          <w:u w:val="single"/>
        </w:rPr>
      </w:pPr>
    </w:p>
    <w:p w:rsidR="000118BE" w:rsidRPr="00FF211E" w:rsidRDefault="000118BE" w:rsidP="00A8553B">
      <w:pPr>
        <w:numPr>
          <w:ilvl w:val="1"/>
          <w:numId w:val="2"/>
        </w:numPr>
        <w:tabs>
          <w:tab w:val="clear" w:pos="360"/>
          <w:tab w:val="left" w:pos="-334"/>
          <w:tab w:val="num" w:pos="970"/>
          <w:tab w:val="num" w:pos="1025"/>
        </w:tabs>
        <w:bidi/>
        <w:spacing w:line="360" w:lineRule="auto"/>
        <w:ind w:left="1025" w:hanging="540"/>
        <w:jc w:val="both"/>
        <w:rPr>
          <w:rFonts w:ascii="Arial" w:hAnsi="Arial"/>
          <w:b/>
          <w:bCs/>
          <w:color w:val="0000FF"/>
          <w:sz w:val="24"/>
          <w:u w:val="single"/>
          <w:rtl/>
        </w:rPr>
      </w:pPr>
      <w:bookmarkStart w:id="200" w:name="_Toc228152736"/>
      <w:r w:rsidRPr="00FF211E">
        <w:rPr>
          <w:rFonts w:ascii="Arial" w:hAnsi="Arial" w:hint="cs"/>
          <w:b/>
          <w:bCs/>
          <w:color w:val="0000FF"/>
          <w:sz w:val="24"/>
          <w:u w:val="single"/>
          <w:rtl/>
        </w:rPr>
        <w:t>צו מניעה זמני נגד קיום שביתה מעין-פוליטית לגיטימית בנמלים למיצוי  הליכי ההידברות עם המדינה</w:t>
      </w:r>
    </w:p>
    <w:p w:rsidR="000118BE" w:rsidRDefault="000118BE" w:rsidP="00A8553B">
      <w:pPr>
        <w:tabs>
          <w:tab w:val="left" w:pos="-290"/>
        </w:tabs>
        <w:spacing w:line="360" w:lineRule="auto"/>
        <w:ind w:left="-312"/>
        <w:jc w:val="both"/>
        <w:rPr>
          <w:b/>
          <w:bCs/>
          <w:szCs w:val="28"/>
          <w:rtl/>
        </w:rPr>
      </w:pPr>
    </w:p>
    <w:p w:rsidR="000118BE" w:rsidRDefault="000118BE" w:rsidP="00A8553B">
      <w:pPr>
        <w:tabs>
          <w:tab w:val="left" w:pos="0"/>
        </w:tabs>
        <w:bidi/>
        <w:spacing w:line="360" w:lineRule="auto"/>
        <w:ind w:left="12"/>
        <w:jc w:val="both"/>
        <w:rPr>
          <w:b/>
          <w:bCs/>
          <w:rtl/>
        </w:rPr>
      </w:pPr>
      <w:r w:rsidRPr="003236A5">
        <w:rPr>
          <w:rFonts w:hint="cs"/>
          <w:b/>
          <w:bCs/>
          <w:rtl/>
        </w:rPr>
        <w:t xml:space="preserve">בית הדין הארצי לעבודה נעתר לבקשת לשכת המסחר תל אביב והמרכז, למתן צו מניעה נגד קיום שביתה בנמלי הים באשדוד ובחיפה, אשר הוכרזה על רקע החלטת הממשלה לפרסם מכרזים להקמת נמלי ים חדשים לצידם. </w:t>
      </w:r>
    </w:p>
    <w:p w:rsidR="000118BE" w:rsidRDefault="000118BE" w:rsidP="00A8553B">
      <w:pPr>
        <w:tabs>
          <w:tab w:val="left" w:pos="0"/>
        </w:tabs>
        <w:bidi/>
        <w:spacing w:line="360" w:lineRule="auto"/>
        <w:ind w:left="12"/>
        <w:jc w:val="both"/>
        <w:rPr>
          <w:b/>
          <w:bCs/>
          <w:rtl/>
        </w:rPr>
      </w:pPr>
      <w:r w:rsidRPr="003236A5">
        <w:rPr>
          <w:rFonts w:hint="cs"/>
          <w:b/>
          <w:bCs/>
          <w:rtl/>
        </w:rPr>
        <w:t>בית הדין פסק, כי לרפורמה הנמלית החדשה המתיישמת כיום, סביר שתהיה השלכה ישירה הן על תנאי עבודתם של כ- 2,400 עובדי הנמל הקיימים, והן על ביטחונם התעסוקתי. אי לכך, על המדינה להידבר עם ההסתדרות לקידום פני הפגיעה הצפויה. לאור סירובה של המדינה להידברות, קמה לארגון העובדים עילת שביתה, הראויה לסיווג כ"שביתה מעין-פוליטית", שהינה לגיטימית ומוצדקת. אולם, העובדה שקמה להסתדרות עילת שביתה, אין משמעה כי יש להתיר לה שביתה בלתי מוגבלת אלא עליה להיות מידתית ומסוייגת.</w:t>
      </w:r>
    </w:p>
    <w:p w:rsidR="000118BE" w:rsidRDefault="000118BE" w:rsidP="00A8553B">
      <w:pPr>
        <w:tabs>
          <w:tab w:val="left" w:pos="0"/>
        </w:tabs>
        <w:bidi/>
        <w:spacing w:line="360" w:lineRule="auto"/>
        <w:ind w:left="12"/>
        <w:jc w:val="both"/>
        <w:rPr>
          <w:b/>
          <w:bCs/>
          <w:rtl/>
        </w:rPr>
      </w:pPr>
      <w:r w:rsidRPr="003236A5">
        <w:rPr>
          <w:rFonts w:hint="cs"/>
          <w:b/>
          <w:bCs/>
          <w:rtl/>
        </w:rPr>
        <w:t>בית הדין פסק, כי בנסיבות העניין, הקשר שקושרת המדינה בין השביתה להחלטת הממשלה על הקמת נמלים פרטיים, כאילו תכלית השביתה טרפוד הקמת הנמלים החדשים - לא קיים. תכליתה של השביתה הוא הבטחת ביטחונם התעסוקתי של עובדי הנמלים ותנאי עבודתם, נוכח היעדר נכונות המדינה ל</w:t>
      </w:r>
      <w:r>
        <w:rPr>
          <w:rFonts w:hint="cs"/>
          <w:b/>
          <w:bCs/>
          <w:rtl/>
        </w:rPr>
        <w:t>הידבר עימם.</w:t>
      </w:r>
    </w:p>
    <w:p w:rsidR="000118BE" w:rsidRDefault="000118BE" w:rsidP="00A8553B">
      <w:pPr>
        <w:tabs>
          <w:tab w:val="left" w:pos="-290"/>
        </w:tabs>
        <w:bidi/>
        <w:spacing w:line="360" w:lineRule="auto"/>
        <w:jc w:val="both"/>
        <w:rPr>
          <w:b/>
          <w:bCs/>
          <w:rtl/>
        </w:rPr>
      </w:pPr>
      <w:r w:rsidRPr="003236A5">
        <w:rPr>
          <w:rFonts w:hint="cs"/>
          <w:b/>
          <w:bCs/>
          <w:rtl/>
        </w:rPr>
        <w:lastRenderedPageBreak/>
        <w:t>בנסיבותיו המיוחדות של מקרה זה, ובהתחשב בכך שלא ביד קלה יש להתיר שביתה כללית בנמלים, נוכח נזקיה הצפויים למשק המדינה כולו ולנוכח הסברה שלא מוצו ההליכים למנוע אותה באמצעות הידברות, הורה בית הדין לצדדים להידבר ביניהם לאלתר, בכל הנוגע להשלכות החלטת הממשלה על הקמת נמלים פרטיים לגבי זכויותיהם, תנאי עבודתם וביטח</w:t>
      </w:r>
      <w:r>
        <w:rPr>
          <w:rFonts w:hint="cs"/>
          <w:b/>
          <w:bCs/>
          <w:rtl/>
        </w:rPr>
        <w:t xml:space="preserve">ונם התעסוקתי של עובדי הנמלים.  </w:t>
      </w:r>
    </w:p>
    <w:p w:rsidR="000118BE" w:rsidRPr="003236A5" w:rsidRDefault="000118BE" w:rsidP="00A8553B">
      <w:pPr>
        <w:tabs>
          <w:tab w:val="left" w:pos="-290"/>
        </w:tabs>
        <w:bidi/>
        <w:spacing w:line="360" w:lineRule="auto"/>
        <w:jc w:val="both"/>
        <w:rPr>
          <w:b/>
          <w:bCs/>
          <w:rtl/>
        </w:rPr>
      </w:pPr>
      <w:r w:rsidRPr="003236A5">
        <w:rPr>
          <w:rFonts w:hint="cs"/>
          <w:b/>
          <w:bCs/>
          <w:rtl/>
        </w:rPr>
        <w:t>בית הדין פסק, כי בתקופת ההידברות עובדי הנמל ימשיכו לעבוד כרגיל בעבודה מלאה, תקינה וסדירה, תוך דיווח בכתב לבית הדין על הליך ההידברות והתקדמותו</w:t>
      </w:r>
      <w:r>
        <w:rPr>
          <w:rFonts w:hint="cs"/>
          <w:b/>
          <w:bCs/>
          <w:szCs w:val="28"/>
          <w:rtl/>
        </w:rPr>
        <w:t>.</w:t>
      </w:r>
    </w:p>
    <w:p w:rsidR="000118BE" w:rsidRPr="003236A5" w:rsidRDefault="000118BE" w:rsidP="00DF3697">
      <w:pPr>
        <w:tabs>
          <w:tab w:val="left" w:pos="90"/>
        </w:tabs>
        <w:bidi/>
        <w:spacing w:line="360" w:lineRule="auto"/>
        <w:ind w:left="44"/>
        <w:jc w:val="both"/>
        <w:rPr>
          <w:rFonts w:ascii="David" w:eastAsia="Calibri" w:hAnsi="David"/>
          <w:color w:val="000000"/>
          <w:sz w:val="22"/>
          <w:szCs w:val="22"/>
        </w:rPr>
      </w:pPr>
      <w:r w:rsidRPr="003236A5">
        <w:rPr>
          <w:rFonts w:ascii="David" w:eastAsia="Calibri" w:hAnsi="David" w:hint="cs"/>
          <w:color w:val="000000"/>
          <w:sz w:val="22"/>
          <w:szCs w:val="22"/>
          <w:rtl/>
        </w:rPr>
        <w:t>סקכ (ארצי)</w:t>
      </w:r>
      <w:r w:rsidRPr="003236A5">
        <w:rPr>
          <w:rFonts w:ascii="David" w:eastAsia="Calibri" w:hAnsi="David"/>
          <w:color w:val="000000"/>
          <w:sz w:val="22"/>
          <w:szCs w:val="22"/>
          <w:rtl/>
        </w:rPr>
        <w:t xml:space="preserve"> </w:t>
      </w:r>
      <w:r w:rsidRPr="003236A5">
        <w:rPr>
          <w:rFonts w:ascii="David" w:eastAsia="Calibri" w:hAnsi="David" w:hint="cs"/>
          <w:color w:val="000000"/>
          <w:sz w:val="22"/>
          <w:szCs w:val="22"/>
          <w:rtl/>
        </w:rPr>
        <w:t xml:space="preserve">40815-07-13 </w:t>
      </w:r>
      <w:r w:rsidRPr="00FF0EF3">
        <w:rPr>
          <w:rFonts w:ascii="Arial" w:eastAsia="Calibri" w:hAnsi="Arial" w:cs="Arial"/>
          <w:color w:val="FF0000"/>
          <w:sz w:val="22"/>
          <w:szCs w:val="22"/>
        </w:rPr>
        <w:t>●</w:t>
      </w:r>
      <w:r w:rsidRPr="003236A5">
        <w:rPr>
          <w:rFonts w:ascii="David" w:eastAsia="Calibri" w:hAnsi="David" w:hint="cs"/>
          <w:color w:val="000000"/>
          <w:sz w:val="22"/>
          <w:szCs w:val="22"/>
          <w:rtl/>
        </w:rPr>
        <w:t xml:space="preserve"> </w:t>
      </w:r>
      <w:r w:rsidRPr="003417EA">
        <w:rPr>
          <w:rFonts w:ascii="David" w:eastAsia="Calibri" w:hAnsi="David" w:hint="cs"/>
          <w:b/>
          <w:bCs/>
          <w:color w:val="000000"/>
          <w:sz w:val="22"/>
          <w:szCs w:val="22"/>
          <w:rtl/>
        </w:rPr>
        <w:t>לשכת המסחר תל אביב והמרכז - איגוד לשכות המסחר נ' חברת נמלי ישראל ואח'</w:t>
      </w:r>
      <w:r w:rsidRPr="003236A5">
        <w:rPr>
          <w:rFonts w:ascii="David" w:eastAsia="Calibri" w:hAnsi="David" w:hint="cs"/>
          <w:color w:val="000000"/>
          <w:sz w:val="22"/>
          <w:szCs w:val="22"/>
          <w:rtl/>
        </w:rPr>
        <w:t xml:space="preserve"> (23.9.13) </w:t>
      </w:r>
      <w:r w:rsidRPr="003236A5">
        <w:rPr>
          <w:rFonts w:ascii="David" w:eastAsia="Calibri" w:hAnsi="David"/>
          <w:color w:val="000000"/>
          <w:sz w:val="22"/>
          <w:szCs w:val="22"/>
        </w:rPr>
        <w:t xml:space="preserve"> </w:t>
      </w:r>
      <w:r w:rsidRPr="00FA0CEB">
        <w:rPr>
          <w:rFonts w:ascii="Arial" w:eastAsia="Calibri" w:hAnsi="Arial" w:cs="Arial"/>
          <w:color w:val="FF0000"/>
          <w:sz w:val="22"/>
          <w:szCs w:val="22"/>
        </w:rPr>
        <w:t>●</w:t>
      </w:r>
      <w:r w:rsidRPr="003236A5">
        <w:rPr>
          <w:rFonts w:ascii="David" w:eastAsia="Calibri" w:hAnsi="David" w:hint="cs"/>
          <w:color w:val="000000"/>
          <w:sz w:val="22"/>
          <w:szCs w:val="22"/>
          <w:rtl/>
        </w:rPr>
        <w:t>בפני סגן הנשיאה יגאל פליטמן, השופט עמירם רבינוביץ, השופטת לאה גליקסמן, נ.ע. מר שלום חבשוש, נ.ע. מר אלעזר וייץ, נ.מ. מר דן בר סלע, נ.מ. מר יצחק דויטש</w:t>
      </w:r>
    </w:p>
    <w:p w:rsidR="00DF3697" w:rsidRPr="007B1C4B" w:rsidRDefault="00DF3697" w:rsidP="00DF3697">
      <w:pPr>
        <w:bidi/>
        <w:spacing w:line="360" w:lineRule="auto"/>
        <w:jc w:val="both"/>
        <w:outlineLvl w:val="0"/>
        <w:rPr>
          <w:rFonts w:eastAsia="Calibri"/>
          <w:sz w:val="22"/>
          <w:szCs w:val="22"/>
          <w:highlight w:val="yellow"/>
          <w:rtl/>
          <w:lang w:eastAsia="he-IL"/>
        </w:rPr>
      </w:pPr>
    </w:p>
    <w:p w:rsidR="000118BE" w:rsidRDefault="000118BE" w:rsidP="00A8553B">
      <w:pPr>
        <w:numPr>
          <w:ilvl w:val="0"/>
          <w:numId w:val="9"/>
        </w:numPr>
        <w:bidi/>
        <w:spacing w:line="360" w:lineRule="auto"/>
        <w:jc w:val="both"/>
        <w:outlineLvl w:val="2"/>
        <w:rPr>
          <w:rFonts w:ascii="David" w:hAnsi="David"/>
          <w:b/>
          <w:bCs/>
          <w:color w:val="FF0000"/>
          <w:sz w:val="32"/>
          <w:szCs w:val="26"/>
          <w:u w:val="single"/>
        </w:rPr>
      </w:pPr>
      <w:bookmarkStart w:id="201" w:name="_Toc383530648"/>
      <w:bookmarkStart w:id="202" w:name="_Toc383587194"/>
      <w:bookmarkStart w:id="203" w:name="_Toc383587399"/>
      <w:bookmarkStart w:id="204" w:name="_Toc383587841"/>
      <w:r>
        <w:rPr>
          <w:rFonts w:ascii="David" w:hAnsi="David" w:hint="cs"/>
          <w:b/>
          <w:bCs/>
          <w:color w:val="FF0000"/>
          <w:sz w:val="32"/>
          <w:szCs w:val="26"/>
          <w:u w:val="single"/>
          <w:rtl/>
        </w:rPr>
        <w:t>תשלום שכר בזמן שביתה</w:t>
      </w:r>
      <w:bookmarkEnd w:id="201"/>
      <w:bookmarkEnd w:id="202"/>
      <w:bookmarkEnd w:id="203"/>
      <w:bookmarkEnd w:id="204"/>
    </w:p>
    <w:p w:rsidR="000118BE" w:rsidRDefault="000118BE" w:rsidP="001A3FF2">
      <w:pPr>
        <w:bidi/>
        <w:jc w:val="both"/>
        <w:outlineLvl w:val="0"/>
        <w:rPr>
          <w:rFonts w:ascii="David" w:hAnsi="David"/>
          <w:b/>
          <w:bCs/>
          <w:color w:val="FF0000"/>
          <w:sz w:val="32"/>
          <w:szCs w:val="26"/>
          <w:u w:val="single"/>
          <w:rtl/>
        </w:rPr>
      </w:pPr>
    </w:p>
    <w:p w:rsidR="000118BE" w:rsidRPr="00FF211E" w:rsidRDefault="000118BE" w:rsidP="00A8553B">
      <w:pPr>
        <w:numPr>
          <w:ilvl w:val="0"/>
          <w:numId w:val="43"/>
        </w:numPr>
        <w:tabs>
          <w:tab w:val="left" w:pos="-334"/>
        </w:tabs>
        <w:bidi/>
        <w:spacing w:line="360" w:lineRule="auto"/>
        <w:jc w:val="both"/>
        <w:rPr>
          <w:rFonts w:ascii="Arial" w:hAnsi="Arial"/>
          <w:b/>
          <w:bCs/>
          <w:color w:val="0000FF"/>
          <w:sz w:val="24"/>
          <w:u w:val="single"/>
          <w:rtl/>
        </w:rPr>
      </w:pPr>
      <w:r w:rsidRPr="00FF211E">
        <w:rPr>
          <w:rFonts w:ascii="Arial" w:hAnsi="Arial" w:hint="cs"/>
          <w:b/>
          <w:bCs/>
          <w:color w:val="0000FF"/>
          <w:sz w:val="24"/>
          <w:u w:val="single"/>
          <w:rtl/>
        </w:rPr>
        <w:t>תשלום שכר ראוי בזמן שביתה חלקית לעובדים שובתים ולחברי ועד</w:t>
      </w:r>
    </w:p>
    <w:p w:rsidR="000118BE" w:rsidRDefault="000118BE" w:rsidP="001A3FF2">
      <w:pPr>
        <w:bidi/>
        <w:jc w:val="both"/>
        <w:rPr>
          <w:b/>
          <w:bCs/>
          <w:szCs w:val="28"/>
          <w:rtl/>
        </w:rPr>
      </w:pPr>
    </w:p>
    <w:p w:rsidR="000118BE" w:rsidRPr="00083A28" w:rsidRDefault="000118BE" w:rsidP="00A8553B">
      <w:pPr>
        <w:tabs>
          <w:tab w:val="left" w:pos="-110"/>
        </w:tabs>
        <w:bidi/>
        <w:spacing w:line="360" w:lineRule="auto"/>
        <w:jc w:val="both"/>
        <w:rPr>
          <w:b/>
          <w:bCs/>
          <w:rtl/>
        </w:rPr>
      </w:pPr>
      <w:r w:rsidRPr="00083A28">
        <w:rPr>
          <w:rFonts w:hint="cs"/>
          <w:b/>
          <w:bCs/>
          <w:rtl/>
        </w:rPr>
        <w:t>חברת מגדל שילמה ל-933 מעובדיה, שלקחו חלק בעיצומים במסגרת סכסוך ההתארגנות בהסתדרות, 70% משכרם בחודש ינואר 2014.</w:t>
      </w:r>
    </w:p>
    <w:p w:rsidR="000118BE" w:rsidRPr="00083A28" w:rsidRDefault="000118BE" w:rsidP="00A8553B">
      <w:pPr>
        <w:tabs>
          <w:tab w:val="left" w:pos="-110"/>
        </w:tabs>
        <w:bidi/>
        <w:spacing w:line="360" w:lineRule="auto"/>
        <w:jc w:val="both"/>
        <w:rPr>
          <w:b/>
          <w:bCs/>
          <w:rtl/>
        </w:rPr>
      </w:pPr>
      <w:r w:rsidRPr="00083A28">
        <w:rPr>
          <w:rFonts w:hint="cs"/>
          <w:b/>
          <w:bCs/>
          <w:rtl/>
        </w:rPr>
        <w:t>בתגובה לכך, הגישה ההסתדרות לבית הדין בקשה להחזיר לעובדים את הסכומים שנוכו משכרם בשל השתתפותם בשביתה, לאחר שלטענתה החברה נקטה בצעד חד צדדי, ענישתי, קולקטיבי ושרירותי, שמטרתו לפגוע בעובדים על רקע רצונם להתארגן.</w:t>
      </w:r>
    </w:p>
    <w:p w:rsidR="000118BE" w:rsidRPr="00083A28" w:rsidRDefault="000118BE" w:rsidP="00A8553B">
      <w:pPr>
        <w:tabs>
          <w:tab w:val="left" w:pos="-110"/>
        </w:tabs>
        <w:bidi/>
        <w:spacing w:line="360" w:lineRule="auto"/>
        <w:jc w:val="both"/>
        <w:rPr>
          <w:b/>
          <w:bCs/>
          <w:rtl/>
        </w:rPr>
      </w:pPr>
      <w:r w:rsidRPr="00083A28">
        <w:rPr>
          <w:rFonts w:hint="cs"/>
          <w:b/>
          <w:bCs/>
          <w:rtl/>
        </w:rPr>
        <w:t>על פי פסיקת בית הדין הארצי, בעת עיצומים (שביתה חלקית) רשאי המעסיק לשלם רק חלק משכר העובדים המשתתפים בעיצומים, זאת על סמך תרומתם האמיתית לעבודה, אך עליו להוכיח מהו גובה השכר הראוי.</w:t>
      </w:r>
    </w:p>
    <w:p w:rsidR="000118BE" w:rsidRPr="00083A28" w:rsidRDefault="000118BE" w:rsidP="00A8553B">
      <w:pPr>
        <w:tabs>
          <w:tab w:val="left" w:pos="-110"/>
        </w:tabs>
        <w:bidi/>
        <w:spacing w:line="360" w:lineRule="auto"/>
        <w:jc w:val="both"/>
        <w:rPr>
          <w:b/>
          <w:bCs/>
          <w:rtl/>
        </w:rPr>
      </w:pPr>
      <w:r w:rsidRPr="00083A28">
        <w:rPr>
          <w:rFonts w:hint="cs"/>
          <w:b/>
          <w:bCs/>
          <w:rtl/>
        </w:rPr>
        <w:t xml:space="preserve">בית הדין האזורי פסק כי לחברי הוועד היו שעות ועד רבות, במהלך שהייתם בעבודה, לאורך כל חודש השביתה, ולפיכך השכר הראוי בגין עבודתם נמוך מ-70%. עם זאת, נקבע כי אין מקום לנכות לעובדי החברה שכר שמעבר לניכוי "לפי השעון" ולכן, החברה תשיב לשאר עובדיה את הניכוי הזמני בסך 30% משכר חודש ינואר, והחישוב הסופי של הניכוי לחברי הוועד ולעובדים יעשה בהליך העיקרי. </w:t>
      </w:r>
    </w:p>
    <w:p w:rsidR="000118BE" w:rsidRDefault="000118BE" w:rsidP="00A8553B">
      <w:pPr>
        <w:bidi/>
        <w:spacing w:line="360" w:lineRule="auto"/>
        <w:ind w:left="44" w:hanging="44"/>
        <w:jc w:val="both"/>
        <w:rPr>
          <w:sz w:val="22"/>
          <w:szCs w:val="22"/>
          <w:rtl/>
        </w:rPr>
      </w:pPr>
      <w:r w:rsidRPr="00083A28">
        <w:rPr>
          <w:rFonts w:hint="cs"/>
          <w:sz w:val="22"/>
          <w:szCs w:val="22"/>
          <w:rtl/>
        </w:rPr>
        <w:t xml:space="preserve">סק (ת"א) 19873-02-14 </w:t>
      </w:r>
      <w:r w:rsidRPr="00293056">
        <w:rPr>
          <w:color w:val="FF0000"/>
          <w:sz w:val="22"/>
          <w:szCs w:val="22"/>
        </w:rPr>
        <w:t>●</w:t>
      </w:r>
      <w:r w:rsidRPr="00083A28">
        <w:rPr>
          <w:rFonts w:hint="cs"/>
          <w:b/>
          <w:bCs/>
          <w:sz w:val="22"/>
          <w:szCs w:val="22"/>
          <w:rtl/>
        </w:rPr>
        <w:t xml:space="preserve"> הסתדרות העובדים הכללית החדשה נ' מגדל חברה לביטוח בע"מ </w:t>
      </w:r>
      <w:r w:rsidRPr="00083A28">
        <w:rPr>
          <w:rFonts w:hint="cs"/>
          <w:sz w:val="22"/>
          <w:szCs w:val="22"/>
          <w:rtl/>
        </w:rPr>
        <w:t xml:space="preserve">(24.2.14) </w:t>
      </w:r>
      <w:r w:rsidRPr="00083A28">
        <w:rPr>
          <w:sz w:val="22"/>
          <w:szCs w:val="22"/>
        </w:rPr>
        <w:t xml:space="preserve"> </w:t>
      </w:r>
      <w:r w:rsidRPr="00293056">
        <w:rPr>
          <w:color w:val="FF0000"/>
          <w:sz w:val="22"/>
          <w:szCs w:val="22"/>
        </w:rPr>
        <w:t>●</w:t>
      </w:r>
      <w:r w:rsidRPr="00083A28">
        <w:rPr>
          <w:rFonts w:hint="cs"/>
          <w:sz w:val="22"/>
          <w:szCs w:val="22"/>
          <w:rtl/>
        </w:rPr>
        <w:t>בפני אב"ד, כבוד השופט דורי ספיבק, נ.ע. הגב' לאה חלה, נ.מ. מר דן זלינגר</w:t>
      </w:r>
    </w:p>
    <w:p w:rsidR="00A12D8C" w:rsidRDefault="00A12D8C" w:rsidP="00A12D8C">
      <w:pPr>
        <w:bidi/>
        <w:spacing w:line="360" w:lineRule="auto"/>
        <w:ind w:left="44" w:hanging="44"/>
        <w:jc w:val="both"/>
        <w:rPr>
          <w:sz w:val="22"/>
          <w:szCs w:val="22"/>
          <w:rtl/>
        </w:rPr>
      </w:pPr>
    </w:p>
    <w:p w:rsidR="004432F3" w:rsidRDefault="004432F3" w:rsidP="004432F3">
      <w:pPr>
        <w:bidi/>
        <w:spacing w:line="360" w:lineRule="auto"/>
        <w:jc w:val="both"/>
        <w:outlineLvl w:val="0"/>
        <w:rPr>
          <w:rFonts w:ascii="David" w:hAnsi="David"/>
          <w:b/>
          <w:bCs/>
          <w:color w:val="FF0000"/>
          <w:sz w:val="32"/>
          <w:szCs w:val="26"/>
          <w:u w:val="single"/>
          <w:rtl/>
        </w:rPr>
      </w:pPr>
    </w:p>
    <w:p w:rsidR="001A3FF2" w:rsidRDefault="001A3FF2" w:rsidP="001A3FF2">
      <w:pPr>
        <w:bidi/>
        <w:spacing w:line="360" w:lineRule="auto"/>
        <w:jc w:val="both"/>
        <w:outlineLvl w:val="0"/>
        <w:rPr>
          <w:rFonts w:ascii="David" w:hAnsi="David"/>
          <w:b/>
          <w:bCs/>
          <w:color w:val="FF0000"/>
          <w:sz w:val="32"/>
          <w:szCs w:val="26"/>
          <w:u w:val="single"/>
          <w:rtl/>
        </w:rPr>
      </w:pPr>
    </w:p>
    <w:p w:rsidR="001A3FF2" w:rsidRDefault="001A3FF2" w:rsidP="001A3FF2">
      <w:pPr>
        <w:bidi/>
        <w:spacing w:line="360" w:lineRule="auto"/>
        <w:jc w:val="both"/>
        <w:outlineLvl w:val="0"/>
        <w:rPr>
          <w:rFonts w:ascii="David" w:hAnsi="David"/>
          <w:b/>
          <w:bCs/>
          <w:color w:val="FF0000"/>
          <w:sz w:val="32"/>
          <w:szCs w:val="26"/>
          <w:u w:val="single"/>
          <w:rtl/>
        </w:rPr>
      </w:pPr>
    </w:p>
    <w:p w:rsidR="001A3FF2" w:rsidRDefault="001A3FF2" w:rsidP="001A3FF2">
      <w:pPr>
        <w:bidi/>
        <w:spacing w:line="360" w:lineRule="auto"/>
        <w:jc w:val="both"/>
        <w:outlineLvl w:val="0"/>
        <w:rPr>
          <w:rFonts w:ascii="David" w:hAnsi="David"/>
          <w:b/>
          <w:bCs/>
          <w:color w:val="FF0000"/>
          <w:sz w:val="32"/>
          <w:szCs w:val="26"/>
          <w:u w:val="single"/>
          <w:rtl/>
        </w:rPr>
      </w:pPr>
    </w:p>
    <w:p w:rsidR="001A3FF2" w:rsidRDefault="001A3FF2" w:rsidP="001A3FF2">
      <w:pPr>
        <w:bidi/>
        <w:spacing w:line="360" w:lineRule="auto"/>
        <w:jc w:val="both"/>
        <w:outlineLvl w:val="0"/>
        <w:rPr>
          <w:rFonts w:ascii="David" w:hAnsi="David"/>
          <w:b/>
          <w:bCs/>
          <w:color w:val="FF0000"/>
          <w:sz w:val="32"/>
          <w:szCs w:val="26"/>
          <w:u w:val="single"/>
          <w:rtl/>
        </w:rPr>
      </w:pPr>
    </w:p>
    <w:p w:rsidR="001A3FF2" w:rsidRDefault="001A3FF2" w:rsidP="001A3FF2">
      <w:pPr>
        <w:bidi/>
        <w:spacing w:line="360" w:lineRule="auto"/>
        <w:jc w:val="both"/>
        <w:outlineLvl w:val="0"/>
        <w:rPr>
          <w:rFonts w:ascii="David" w:hAnsi="David"/>
          <w:b/>
          <w:bCs/>
          <w:color w:val="FF0000"/>
          <w:sz w:val="32"/>
          <w:szCs w:val="26"/>
          <w:u w:val="single"/>
          <w:rtl/>
        </w:rPr>
      </w:pPr>
    </w:p>
    <w:p w:rsidR="000118BE" w:rsidRPr="00FF211E" w:rsidRDefault="000118BE" w:rsidP="001A3FF2">
      <w:pPr>
        <w:pStyle w:val="16"/>
        <w:rPr>
          <w:color w:val="0000FF"/>
          <w:rtl/>
        </w:rPr>
      </w:pPr>
      <w:r w:rsidRPr="00FF211E">
        <w:rPr>
          <w:rFonts w:hint="cs"/>
          <w:color w:val="0000FF"/>
          <w:rtl/>
        </w:rPr>
        <w:lastRenderedPageBreak/>
        <w:t xml:space="preserve">חלק שלישי: </w:t>
      </w:r>
      <w:bookmarkEnd w:id="200"/>
      <w:r w:rsidRPr="00FF211E">
        <w:rPr>
          <w:rFonts w:hint="cs"/>
          <w:color w:val="0000FF"/>
          <w:rtl/>
        </w:rPr>
        <w:t xml:space="preserve">תיקוני חקיקה </w:t>
      </w:r>
      <w:r w:rsidRPr="00FF211E">
        <w:rPr>
          <w:color w:val="0000FF"/>
          <w:rtl/>
        </w:rPr>
        <w:fldChar w:fldCharType="begin"/>
      </w:r>
      <w:r w:rsidRPr="00FF211E">
        <w:rPr>
          <w:color w:val="0000FF"/>
        </w:rPr>
        <w:instrText xml:space="preserve"> TC "</w:instrText>
      </w:r>
      <w:bookmarkStart w:id="205" w:name="_Toc228528572"/>
      <w:r w:rsidRPr="00FF211E">
        <w:rPr>
          <w:rFonts w:hint="cs"/>
          <w:color w:val="0000FF"/>
          <w:rtl/>
        </w:rPr>
        <w:instrText>חלק שלישי: חקיקה, צווי הרחבה והודעות</w:instrText>
      </w:r>
      <w:bookmarkEnd w:id="205"/>
      <w:r w:rsidRPr="00FF211E">
        <w:rPr>
          <w:color w:val="0000FF"/>
        </w:rPr>
        <w:instrText xml:space="preserve">" \f C \l "1" </w:instrText>
      </w:r>
      <w:r w:rsidRPr="00FF211E">
        <w:rPr>
          <w:color w:val="0000FF"/>
          <w:rtl/>
        </w:rPr>
        <w:fldChar w:fldCharType="end"/>
      </w:r>
    </w:p>
    <w:p w:rsidR="000118BE" w:rsidRPr="00FF211E" w:rsidRDefault="000118BE" w:rsidP="001A3FF2">
      <w:pPr>
        <w:pStyle w:val="aa"/>
        <w:rPr>
          <w:color w:val="0000FF"/>
          <w:spacing w:val="-2"/>
          <w:sz w:val="20"/>
          <w:rtl/>
        </w:rPr>
      </w:pPr>
    </w:p>
    <w:p w:rsidR="000118BE" w:rsidRPr="00FF211E" w:rsidRDefault="000118BE" w:rsidP="00A8553B">
      <w:pPr>
        <w:numPr>
          <w:ilvl w:val="0"/>
          <w:numId w:val="27"/>
        </w:numPr>
        <w:tabs>
          <w:tab w:val="left" w:pos="70"/>
        </w:tabs>
        <w:bidi/>
        <w:spacing w:line="360" w:lineRule="auto"/>
        <w:jc w:val="both"/>
        <w:rPr>
          <w:rFonts w:ascii="Arial" w:hAnsi="Arial"/>
          <w:b/>
          <w:bCs/>
          <w:color w:val="0000FF"/>
          <w:sz w:val="24"/>
          <w:u w:val="single"/>
        </w:rPr>
      </w:pPr>
      <w:r w:rsidRPr="00FF211E">
        <w:rPr>
          <w:rFonts w:ascii="Arial" w:hAnsi="Arial" w:hint="cs"/>
          <w:b/>
          <w:bCs/>
          <w:color w:val="0000FF"/>
          <w:sz w:val="24"/>
          <w:u w:val="single"/>
          <w:rtl/>
        </w:rPr>
        <w:t>החלת חוק שירות המדינה (משמעת) על עובדי המועצות הדתיות</w:t>
      </w:r>
    </w:p>
    <w:p w:rsidR="000118BE" w:rsidRPr="00A852E1" w:rsidRDefault="000118BE" w:rsidP="00A8553B">
      <w:pPr>
        <w:tabs>
          <w:tab w:val="left" w:pos="70"/>
        </w:tabs>
        <w:bidi/>
        <w:spacing w:line="360" w:lineRule="auto"/>
        <w:ind w:left="720"/>
        <w:jc w:val="both"/>
        <w:rPr>
          <w:rFonts w:ascii="Arial" w:hAnsi="Arial"/>
          <w:b/>
          <w:bCs/>
          <w:color w:val="008000"/>
          <w:sz w:val="24"/>
          <w:u w:val="single"/>
          <w:rtl/>
        </w:rPr>
      </w:pPr>
    </w:p>
    <w:p w:rsidR="000118BE" w:rsidRDefault="000118BE" w:rsidP="00A8553B">
      <w:pPr>
        <w:tabs>
          <w:tab w:val="left" w:pos="-110"/>
          <w:tab w:val="left" w:pos="0"/>
        </w:tabs>
        <w:bidi/>
        <w:spacing w:line="360" w:lineRule="auto"/>
        <w:jc w:val="both"/>
        <w:rPr>
          <w:rFonts w:ascii="Arial" w:hAnsi="Arial"/>
          <w:b/>
          <w:bCs/>
          <w:sz w:val="28"/>
          <w:szCs w:val="28"/>
          <w:rtl/>
        </w:rPr>
      </w:pPr>
      <w:r w:rsidRPr="00A852E1">
        <w:rPr>
          <w:rFonts w:hint="cs"/>
          <w:b/>
          <w:bCs/>
          <w:rtl/>
        </w:rPr>
        <w:t xml:space="preserve">אף על פי שתכליתו של חוק שירות המדינה (משמעת), התשכ"ג- 1963, להבטיח את טוהר המידות בשירות הציבורי ושמירה על הליך תקין, עובדי המועצות הדתיות לא היו כפופים לחוקי המשמעת שחלים על כל עובדי המדינה במשך שנים רבות. </w:t>
      </w:r>
    </w:p>
    <w:p w:rsidR="000118BE" w:rsidRDefault="000118BE" w:rsidP="00A8553B">
      <w:pPr>
        <w:tabs>
          <w:tab w:val="left" w:pos="-110"/>
          <w:tab w:val="left" w:pos="0"/>
        </w:tabs>
        <w:bidi/>
        <w:spacing w:line="360" w:lineRule="auto"/>
        <w:jc w:val="both"/>
        <w:rPr>
          <w:rFonts w:ascii="Arial" w:hAnsi="Arial"/>
          <w:b/>
          <w:bCs/>
          <w:sz w:val="28"/>
          <w:szCs w:val="28"/>
          <w:rtl/>
        </w:rPr>
      </w:pPr>
      <w:r w:rsidRPr="00A852E1">
        <w:rPr>
          <w:rFonts w:hint="cs"/>
          <w:b/>
          <w:bCs/>
          <w:rtl/>
        </w:rPr>
        <w:t>כתוצאה מכך, לא ניתן היה לטפל כראוי, ברמה המשמעתית, באי סדרים והתנהלות בלתי תקינה במועצות הדתיות, ואף הועלו טענות של הפליה בין עובדי המגזר הציבורי.</w:t>
      </w:r>
    </w:p>
    <w:p w:rsidR="000118BE" w:rsidRPr="00A852E1" w:rsidRDefault="000118BE" w:rsidP="00A8553B">
      <w:pPr>
        <w:tabs>
          <w:tab w:val="left" w:pos="-110"/>
          <w:tab w:val="left" w:pos="0"/>
        </w:tabs>
        <w:bidi/>
        <w:spacing w:line="360" w:lineRule="auto"/>
        <w:jc w:val="both"/>
        <w:rPr>
          <w:rFonts w:ascii="Arial" w:hAnsi="Arial"/>
          <w:b/>
          <w:bCs/>
          <w:sz w:val="28"/>
          <w:szCs w:val="28"/>
          <w:rtl/>
        </w:rPr>
      </w:pPr>
      <w:r w:rsidRPr="00A852E1">
        <w:rPr>
          <w:rFonts w:hint="cs"/>
          <w:b/>
          <w:bCs/>
          <w:rtl/>
        </w:rPr>
        <w:t>ביום 25.12.13 פורסמה הודעה בדבר החלת חוק שירות המדינה (משמעת) על עובדי המועצות הדתיות, וכעת העובדים הללו כפופים לחוקי המשמעת שחלים על כלל עובדי המדינה האחרים.</w:t>
      </w:r>
    </w:p>
    <w:p w:rsidR="000118BE" w:rsidRDefault="000118BE" w:rsidP="00A8553B">
      <w:pPr>
        <w:tabs>
          <w:tab w:val="left" w:pos="-110"/>
          <w:tab w:val="left" w:pos="0"/>
        </w:tabs>
        <w:bidi/>
        <w:spacing w:line="360" w:lineRule="auto"/>
        <w:jc w:val="both"/>
        <w:rPr>
          <w:rFonts w:ascii="Arial" w:hAnsi="Arial"/>
          <w:b/>
          <w:bCs/>
          <w:sz w:val="22"/>
          <w:szCs w:val="22"/>
          <w:rtl/>
        </w:rPr>
      </w:pPr>
      <w:r>
        <w:rPr>
          <w:rFonts w:hint="cs"/>
          <w:sz w:val="22"/>
          <w:szCs w:val="22"/>
          <w:rtl/>
        </w:rPr>
        <w:t>פורסם ב</w:t>
      </w:r>
      <w:r w:rsidRPr="00A852E1">
        <w:rPr>
          <w:rFonts w:hint="cs"/>
          <w:sz w:val="22"/>
          <w:szCs w:val="22"/>
          <w:rtl/>
        </w:rPr>
        <w:t>ילקוט הפרסומים 6735, י"ב בשבט התשע"ד, 13.1.2013</w:t>
      </w:r>
    </w:p>
    <w:p w:rsidR="001A3FF2" w:rsidRPr="00FF211E" w:rsidRDefault="001A3FF2" w:rsidP="001A3FF2">
      <w:pPr>
        <w:tabs>
          <w:tab w:val="left" w:pos="-110"/>
          <w:tab w:val="left" w:pos="0"/>
        </w:tabs>
        <w:bidi/>
        <w:jc w:val="both"/>
        <w:rPr>
          <w:rFonts w:ascii="Arial" w:hAnsi="Arial"/>
          <w:b/>
          <w:bCs/>
          <w:color w:val="0000FF"/>
          <w:sz w:val="22"/>
          <w:szCs w:val="22"/>
          <w:rtl/>
        </w:rPr>
      </w:pPr>
    </w:p>
    <w:p w:rsidR="000118BE" w:rsidRPr="00FF211E" w:rsidRDefault="000118BE" w:rsidP="00A8553B">
      <w:pPr>
        <w:numPr>
          <w:ilvl w:val="0"/>
          <w:numId w:val="27"/>
        </w:numPr>
        <w:tabs>
          <w:tab w:val="left" w:pos="70"/>
        </w:tabs>
        <w:bidi/>
        <w:spacing w:line="360" w:lineRule="auto"/>
        <w:jc w:val="both"/>
        <w:rPr>
          <w:rFonts w:ascii="Arial" w:hAnsi="Arial"/>
          <w:b/>
          <w:bCs/>
          <w:color w:val="0000FF"/>
          <w:sz w:val="24"/>
          <w:u w:val="single"/>
        </w:rPr>
      </w:pPr>
      <w:r w:rsidRPr="00FF211E">
        <w:rPr>
          <w:rFonts w:ascii="Arial" w:hAnsi="Arial" w:hint="cs"/>
          <w:b/>
          <w:bCs/>
          <w:color w:val="0000FF"/>
          <w:sz w:val="24"/>
          <w:u w:val="single"/>
          <w:rtl/>
        </w:rPr>
        <w:t>הרחבת חובת המכרזים על תאגידים מקומיים והתאמת תקנות חובת המכרזים לחוק להגברת האכיפה של דיני העבודה</w:t>
      </w:r>
    </w:p>
    <w:p w:rsidR="000118BE" w:rsidRPr="001A3FF2" w:rsidRDefault="000118BE" w:rsidP="001A3FF2">
      <w:pPr>
        <w:tabs>
          <w:tab w:val="left" w:pos="70"/>
        </w:tabs>
        <w:bidi/>
        <w:ind w:left="720"/>
        <w:jc w:val="both"/>
        <w:rPr>
          <w:rFonts w:ascii="Arial" w:hAnsi="Arial"/>
          <w:b/>
          <w:bCs/>
          <w:color w:val="008000"/>
          <w:sz w:val="24"/>
          <w:u w:val="single"/>
          <w:rtl/>
        </w:rPr>
      </w:pPr>
    </w:p>
    <w:p w:rsidR="000118BE" w:rsidRPr="00296500" w:rsidRDefault="000118BE" w:rsidP="00A8553B">
      <w:pPr>
        <w:tabs>
          <w:tab w:val="left" w:pos="-110"/>
          <w:tab w:val="left" w:pos="0"/>
        </w:tabs>
        <w:bidi/>
        <w:spacing w:line="360" w:lineRule="auto"/>
        <w:jc w:val="both"/>
        <w:rPr>
          <w:b/>
          <w:bCs/>
          <w:rtl/>
        </w:rPr>
      </w:pPr>
      <w:r w:rsidRPr="00296500">
        <w:rPr>
          <w:rFonts w:hint="cs"/>
          <w:b/>
          <w:bCs/>
          <w:rtl/>
        </w:rPr>
        <w:t xml:space="preserve">החל מינואר, 2014 הורחבה חובת המכרזים </w:t>
      </w:r>
      <w:r w:rsidRPr="00296500">
        <w:rPr>
          <w:b/>
          <w:bCs/>
          <w:rtl/>
        </w:rPr>
        <w:t>גם</w:t>
      </w:r>
      <w:r w:rsidRPr="00296500">
        <w:rPr>
          <w:rFonts w:hint="cs"/>
          <w:b/>
          <w:bCs/>
          <w:rtl/>
        </w:rPr>
        <w:t xml:space="preserve"> על</w:t>
      </w:r>
      <w:r w:rsidRPr="00296500">
        <w:rPr>
          <w:b/>
          <w:bCs/>
          <w:rtl/>
        </w:rPr>
        <w:t xml:space="preserve"> </w:t>
      </w:r>
      <w:r w:rsidRPr="00296500">
        <w:rPr>
          <w:rFonts w:hint="cs"/>
          <w:b/>
          <w:bCs/>
          <w:rtl/>
        </w:rPr>
        <w:t>גופים ציבוריים שאינם ממשלתיים, בכלל זה</w:t>
      </w:r>
      <w:r w:rsidRPr="00296500">
        <w:rPr>
          <w:b/>
          <w:bCs/>
          <w:rtl/>
        </w:rPr>
        <w:t xml:space="preserve"> </w:t>
      </w:r>
      <w:r w:rsidRPr="00296500">
        <w:rPr>
          <w:rFonts w:hint="cs"/>
          <w:b/>
          <w:bCs/>
          <w:rtl/>
        </w:rPr>
        <w:t xml:space="preserve">על </w:t>
      </w:r>
      <w:r w:rsidRPr="00296500">
        <w:rPr>
          <w:b/>
          <w:bCs/>
          <w:rtl/>
        </w:rPr>
        <w:t>תאגידים מקומיים</w:t>
      </w:r>
      <w:r w:rsidRPr="00296500">
        <w:rPr>
          <w:rFonts w:hint="cs"/>
          <w:b/>
          <w:bCs/>
          <w:rtl/>
        </w:rPr>
        <w:t xml:space="preserve">. </w:t>
      </w:r>
      <w:r w:rsidRPr="00296500">
        <w:rPr>
          <w:b/>
          <w:bCs/>
          <w:rtl/>
        </w:rPr>
        <w:t>ברחבי הארץ פועלים כיום כ- 680 תאגידים עירוניים</w:t>
      </w:r>
      <w:r w:rsidRPr="00296500">
        <w:rPr>
          <w:rFonts w:hint="cs"/>
          <w:b/>
          <w:bCs/>
          <w:rtl/>
        </w:rPr>
        <w:t>,</w:t>
      </w:r>
      <w:r w:rsidRPr="00296500">
        <w:rPr>
          <w:b/>
          <w:bCs/>
          <w:rtl/>
        </w:rPr>
        <w:t xml:space="preserve"> כדוגמת תאגידי מים, ביטחון, משק, כלכלה ופיתוח. התאגידים כפופים לעקרונות המכרז הכלכליים, מתוקף פקודת העיריות</w:t>
      </w:r>
      <w:r w:rsidRPr="00296500">
        <w:rPr>
          <w:rFonts w:hint="cs"/>
          <w:b/>
          <w:bCs/>
          <w:rtl/>
        </w:rPr>
        <w:t>.</w:t>
      </w:r>
      <w:r w:rsidRPr="00296500">
        <w:rPr>
          <w:b/>
          <w:bCs/>
          <w:rtl/>
        </w:rPr>
        <w:t xml:space="preserve"> </w:t>
      </w:r>
      <w:r w:rsidRPr="00296500">
        <w:rPr>
          <w:rFonts w:hint="cs"/>
          <w:b/>
          <w:bCs/>
          <w:rtl/>
        </w:rPr>
        <w:t xml:space="preserve">אולם </w:t>
      </w:r>
      <w:r w:rsidRPr="00296500">
        <w:rPr>
          <w:b/>
          <w:bCs/>
          <w:rtl/>
        </w:rPr>
        <w:t>עתה</w:t>
      </w:r>
      <w:r w:rsidRPr="00296500">
        <w:rPr>
          <w:rFonts w:hint="cs"/>
          <w:b/>
          <w:bCs/>
          <w:rtl/>
        </w:rPr>
        <w:t>,</w:t>
      </w:r>
      <w:r w:rsidRPr="00296500">
        <w:rPr>
          <w:b/>
          <w:bCs/>
          <w:rtl/>
        </w:rPr>
        <w:t xml:space="preserve"> יחולו עליהם העקרונות ביתר שאת מכוח חוק חובת המכרזים. אחד העקרונות העיקריים בתקנות שאושרו הוא, </w:t>
      </w:r>
      <w:r w:rsidRPr="00296500">
        <w:rPr>
          <w:rFonts w:hint="cs"/>
          <w:b/>
          <w:bCs/>
          <w:rtl/>
        </w:rPr>
        <w:t>ש</w:t>
      </w:r>
      <w:r w:rsidRPr="00296500">
        <w:rPr>
          <w:b/>
          <w:bCs/>
          <w:rtl/>
        </w:rPr>
        <w:t xml:space="preserve">תאגיד מקומי יערוך מכרז באופן שקוף ככל הניתן בנסיבות העניין, באופן הוגן ושוויוני, המבטיח את מירב היתרונות לתאגיד המקומי. </w:t>
      </w:r>
    </w:p>
    <w:p w:rsidR="000118BE" w:rsidRPr="00296500" w:rsidRDefault="000118BE" w:rsidP="00A8553B">
      <w:pPr>
        <w:tabs>
          <w:tab w:val="left" w:pos="-110"/>
          <w:tab w:val="left" w:pos="0"/>
        </w:tabs>
        <w:bidi/>
        <w:spacing w:line="360" w:lineRule="auto"/>
        <w:jc w:val="both"/>
        <w:rPr>
          <w:b/>
          <w:bCs/>
          <w:rtl/>
        </w:rPr>
      </w:pPr>
      <w:r w:rsidRPr="00296500">
        <w:rPr>
          <w:b/>
          <w:bCs/>
          <w:rtl/>
        </w:rPr>
        <w:t xml:space="preserve">ב-2011 חוקק החוק </w:t>
      </w:r>
      <w:bookmarkStart w:id="206" w:name="_ETM_Q1_292915"/>
      <w:bookmarkEnd w:id="206"/>
      <w:r w:rsidRPr="00296500">
        <w:rPr>
          <w:rFonts w:hint="cs"/>
          <w:b/>
          <w:bCs/>
          <w:rtl/>
        </w:rPr>
        <w:t>שמטרתו</w:t>
      </w:r>
      <w:r w:rsidRPr="00296500">
        <w:rPr>
          <w:b/>
          <w:bCs/>
          <w:rtl/>
        </w:rPr>
        <w:t xml:space="preserve"> להגביר ולייעל את האכיפה של חוקי עבודה</w:t>
      </w:r>
      <w:bookmarkStart w:id="207" w:name="_ETM_Q1_298327"/>
      <w:bookmarkEnd w:id="207"/>
      <w:r w:rsidRPr="00296500">
        <w:rPr>
          <w:rFonts w:hint="cs"/>
          <w:b/>
          <w:bCs/>
          <w:rtl/>
        </w:rPr>
        <w:t>.</w:t>
      </w:r>
      <w:r w:rsidRPr="00296500">
        <w:rPr>
          <w:b/>
          <w:bCs/>
          <w:rtl/>
        </w:rPr>
        <w:t xml:space="preserve"> כיוון שאחד מהתיקונים </w:t>
      </w:r>
      <w:r w:rsidRPr="00296500">
        <w:rPr>
          <w:rFonts w:hint="cs"/>
          <w:b/>
          <w:bCs/>
          <w:rtl/>
        </w:rPr>
        <w:t>שנעשו</w:t>
      </w:r>
      <w:r w:rsidRPr="00296500">
        <w:rPr>
          <w:b/>
          <w:bCs/>
          <w:rtl/>
        </w:rPr>
        <w:t xml:space="preserve"> ברפורמה במכרזים </w:t>
      </w:r>
      <w:bookmarkStart w:id="208" w:name="_ETM_Q1_304497"/>
      <w:bookmarkEnd w:id="208"/>
      <w:r w:rsidRPr="00296500">
        <w:rPr>
          <w:b/>
          <w:bCs/>
          <w:rtl/>
        </w:rPr>
        <w:t xml:space="preserve">בשנת 2009 היה גם הגנה על זכויות עובדים, </w:t>
      </w:r>
      <w:r w:rsidRPr="00296500">
        <w:rPr>
          <w:rFonts w:hint="cs"/>
          <w:b/>
          <w:bCs/>
          <w:rtl/>
        </w:rPr>
        <w:t>הוחלט להתאים את תקנות חובת המכרזים</w:t>
      </w:r>
      <w:r w:rsidRPr="00296500">
        <w:rPr>
          <w:b/>
          <w:bCs/>
          <w:rtl/>
        </w:rPr>
        <w:t xml:space="preserve"> להוראות של חוק הגברת האכיפה</w:t>
      </w:r>
      <w:r w:rsidRPr="00296500">
        <w:rPr>
          <w:rFonts w:hint="cs"/>
          <w:b/>
          <w:bCs/>
          <w:rtl/>
        </w:rPr>
        <w:t>.  להלן עיקרי הדברים:</w:t>
      </w:r>
    </w:p>
    <w:p w:rsidR="000118BE" w:rsidRPr="00296500" w:rsidRDefault="000118BE" w:rsidP="00A8553B">
      <w:pPr>
        <w:tabs>
          <w:tab w:val="left" w:pos="-110"/>
          <w:tab w:val="left" w:pos="0"/>
        </w:tabs>
        <w:bidi/>
        <w:spacing w:line="360" w:lineRule="auto"/>
        <w:jc w:val="both"/>
        <w:rPr>
          <w:b/>
          <w:bCs/>
          <w:rtl/>
        </w:rPr>
      </w:pPr>
      <w:r w:rsidRPr="00296500">
        <w:rPr>
          <w:rFonts w:hint="cs"/>
          <w:b/>
          <w:bCs/>
          <w:rtl/>
        </w:rPr>
        <w:t>ה</w:t>
      </w:r>
      <w:r w:rsidRPr="00296500">
        <w:rPr>
          <w:b/>
          <w:bCs/>
          <w:rtl/>
        </w:rPr>
        <w:t xml:space="preserve">הגדרה של </w:t>
      </w:r>
      <w:r w:rsidRPr="00296500">
        <w:rPr>
          <w:rFonts w:hint="cs"/>
          <w:b/>
          <w:bCs/>
          <w:rtl/>
        </w:rPr>
        <w:t>"</w:t>
      </w:r>
      <w:r w:rsidRPr="00296500">
        <w:rPr>
          <w:b/>
          <w:bCs/>
          <w:rtl/>
        </w:rPr>
        <w:t>שירות</w:t>
      </w:r>
      <w:r w:rsidRPr="00296500">
        <w:rPr>
          <w:rFonts w:hint="cs"/>
          <w:b/>
          <w:bCs/>
          <w:rtl/>
        </w:rPr>
        <w:t>"</w:t>
      </w:r>
      <w:r w:rsidRPr="00296500">
        <w:rPr>
          <w:b/>
          <w:bCs/>
          <w:rtl/>
        </w:rPr>
        <w:t xml:space="preserve"> </w:t>
      </w:r>
      <w:r w:rsidRPr="00296500">
        <w:rPr>
          <w:rFonts w:hint="cs"/>
          <w:b/>
          <w:bCs/>
          <w:rtl/>
        </w:rPr>
        <w:t>הורחבה גם ל</w:t>
      </w:r>
      <w:r w:rsidRPr="00296500">
        <w:rPr>
          <w:b/>
          <w:bCs/>
          <w:rtl/>
        </w:rPr>
        <w:t>הסעדה</w:t>
      </w:r>
      <w:r w:rsidRPr="00296500">
        <w:rPr>
          <w:rFonts w:hint="cs"/>
          <w:b/>
          <w:bCs/>
          <w:rtl/>
        </w:rPr>
        <w:t>.</w:t>
      </w:r>
    </w:p>
    <w:p w:rsidR="000118BE" w:rsidRPr="00296500" w:rsidRDefault="000118BE" w:rsidP="00A8553B">
      <w:pPr>
        <w:tabs>
          <w:tab w:val="left" w:pos="-110"/>
          <w:tab w:val="left" w:pos="0"/>
        </w:tabs>
        <w:bidi/>
        <w:spacing w:line="360" w:lineRule="auto"/>
        <w:jc w:val="both"/>
        <w:rPr>
          <w:b/>
          <w:bCs/>
          <w:rtl/>
        </w:rPr>
      </w:pPr>
      <w:r w:rsidRPr="00296500">
        <w:rPr>
          <w:rFonts w:hint="cs"/>
          <w:b/>
          <w:bCs/>
          <w:rtl/>
        </w:rPr>
        <w:t xml:space="preserve">בנוסף, הורחבה </w:t>
      </w:r>
      <w:bookmarkStart w:id="209" w:name="_ETM_Q1_380683"/>
      <w:bookmarkEnd w:id="209"/>
      <w:r w:rsidRPr="00296500">
        <w:rPr>
          <w:b/>
          <w:bCs/>
          <w:rtl/>
        </w:rPr>
        <w:t>הסמכות של ועדת המכרזים</w:t>
      </w:r>
      <w:r w:rsidRPr="00296500">
        <w:rPr>
          <w:rFonts w:hint="cs"/>
          <w:b/>
          <w:bCs/>
          <w:rtl/>
        </w:rPr>
        <w:t>;</w:t>
      </w:r>
      <w:r w:rsidRPr="00296500">
        <w:rPr>
          <w:b/>
          <w:bCs/>
          <w:rtl/>
        </w:rPr>
        <w:t xml:space="preserve"> עד היום ועדת המכרזים היתה </w:t>
      </w:r>
      <w:bookmarkStart w:id="210" w:name="_ETM_Q1_395646"/>
      <w:bookmarkEnd w:id="210"/>
      <w:r w:rsidRPr="00296500">
        <w:rPr>
          <w:b/>
          <w:bCs/>
          <w:rtl/>
        </w:rPr>
        <w:t xml:space="preserve">יכולה לאשר התקשרות אם היא נעשית במהלך תקופת ההתקשרות </w:t>
      </w:r>
      <w:bookmarkStart w:id="211" w:name="_ETM_Q1_401012"/>
      <w:bookmarkEnd w:id="211"/>
      <w:r w:rsidRPr="00296500">
        <w:rPr>
          <w:b/>
          <w:bCs/>
          <w:rtl/>
        </w:rPr>
        <w:t xml:space="preserve">הראשונה, או אם ההתקשרות היא ללא עלות נוספת, או אם </w:t>
      </w:r>
      <w:bookmarkStart w:id="212" w:name="_ETM_Q1_403234"/>
      <w:bookmarkEnd w:id="212"/>
      <w:r w:rsidRPr="00296500">
        <w:rPr>
          <w:b/>
          <w:bCs/>
          <w:rtl/>
        </w:rPr>
        <w:t xml:space="preserve">השווי המצטבר של כל התקשרויות ההמשך לא עולה על </w:t>
      </w:r>
      <w:bookmarkStart w:id="213" w:name="_ETM_Q1_407569"/>
      <w:bookmarkEnd w:id="213"/>
      <w:r w:rsidRPr="00296500">
        <w:rPr>
          <w:b/>
          <w:bCs/>
          <w:rtl/>
        </w:rPr>
        <w:t xml:space="preserve">50,000 שקלים. </w:t>
      </w:r>
      <w:r w:rsidRPr="00296500">
        <w:rPr>
          <w:rFonts w:hint="cs"/>
          <w:b/>
          <w:bCs/>
          <w:rtl/>
        </w:rPr>
        <w:t>על מנת</w:t>
      </w:r>
      <w:r w:rsidRPr="00296500">
        <w:rPr>
          <w:b/>
          <w:bCs/>
          <w:rtl/>
        </w:rPr>
        <w:t xml:space="preserve"> לעודד </w:t>
      </w:r>
      <w:r w:rsidRPr="00296500">
        <w:rPr>
          <w:rFonts w:hint="cs"/>
          <w:b/>
          <w:bCs/>
          <w:rtl/>
        </w:rPr>
        <w:t xml:space="preserve">תחרות, נקבע </w:t>
      </w:r>
      <w:r w:rsidRPr="00296500">
        <w:rPr>
          <w:b/>
          <w:bCs/>
          <w:rtl/>
        </w:rPr>
        <w:t xml:space="preserve">שאם ההתקשרות הראשונה נעשתה </w:t>
      </w:r>
      <w:bookmarkStart w:id="214" w:name="_ETM_Q1_412459"/>
      <w:bookmarkEnd w:id="214"/>
      <w:r w:rsidRPr="00296500">
        <w:rPr>
          <w:b/>
          <w:bCs/>
          <w:rtl/>
        </w:rPr>
        <w:t xml:space="preserve">בהליך תחרותי כמו מכרז או פניה תחרותית לקבלת </w:t>
      </w:r>
      <w:bookmarkStart w:id="215" w:name="_ETM_Q1_417115"/>
      <w:bookmarkEnd w:id="215"/>
      <w:r w:rsidRPr="00296500">
        <w:rPr>
          <w:b/>
          <w:bCs/>
          <w:rtl/>
        </w:rPr>
        <w:t>הצעות</w:t>
      </w:r>
      <w:r w:rsidRPr="00296500">
        <w:rPr>
          <w:rFonts w:hint="cs"/>
          <w:b/>
          <w:bCs/>
          <w:rtl/>
        </w:rPr>
        <w:t>,</w:t>
      </w:r>
      <w:r w:rsidRPr="00296500">
        <w:rPr>
          <w:b/>
          <w:bCs/>
          <w:rtl/>
        </w:rPr>
        <w:t xml:space="preserve"> אז</w:t>
      </w:r>
      <w:r w:rsidRPr="00296500">
        <w:rPr>
          <w:rFonts w:hint="cs"/>
          <w:b/>
          <w:bCs/>
          <w:rtl/>
        </w:rPr>
        <w:t>י</w:t>
      </w:r>
      <w:r w:rsidRPr="00296500">
        <w:rPr>
          <w:b/>
          <w:bCs/>
          <w:rtl/>
        </w:rPr>
        <w:t xml:space="preserve"> הסמכות של האישור של הפטור הזה לוועדת מכרזים</w:t>
      </w:r>
      <w:r w:rsidRPr="00296500">
        <w:rPr>
          <w:rFonts w:hint="cs"/>
          <w:b/>
          <w:bCs/>
          <w:rtl/>
        </w:rPr>
        <w:t xml:space="preserve"> הורחבה</w:t>
      </w:r>
      <w:bookmarkStart w:id="216" w:name="_ETM_Q1_422333"/>
      <w:bookmarkEnd w:id="216"/>
      <w:r w:rsidRPr="00296500">
        <w:rPr>
          <w:rFonts w:hint="cs"/>
          <w:b/>
          <w:bCs/>
          <w:rtl/>
        </w:rPr>
        <w:t xml:space="preserve"> ל</w:t>
      </w:r>
      <w:r w:rsidRPr="00296500">
        <w:rPr>
          <w:b/>
          <w:bCs/>
          <w:rtl/>
        </w:rPr>
        <w:t>סכום של</w:t>
      </w:r>
      <w:r w:rsidRPr="00296500">
        <w:rPr>
          <w:rFonts w:hint="cs"/>
          <w:b/>
          <w:bCs/>
          <w:rtl/>
        </w:rPr>
        <w:t xml:space="preserve"> עד</w:t>
      </w:r>
      <w:r w:rsidRPr="00296500">
        <w:rPr>
          <w:b/>
          <w:bCs/>
          <w:rtl/>
        </w:rPr>
        <w:t xml:space="preserve"> 150,000 שקלים ולא רק עד 50,000 </w:t>
      </w:r>
      <w:bookmarkStart w:id="217" w:name="_ETM_Q1_426003"/>
      <w:bookmarkEnd w:id="217"/>
      <w:r w:rsidRPr="00296500">
        <w:rPr>
          <w:b/>
          <w:bCs/>
          <w:rtl/>
        </w:rPr>
        <w:t>שקלים.</w:t>
      </w:r>
    </w:p>
    <w:p w:rsidR="000118BE" w:rsidRPr="00296500" w:rsidRDefault="000118BE" w:rsidP="00A8553B">
      <w:pPr>
        <w:tabs>
          <w:tab w:val="left" w:pos="-110"/>
          <w:tab w:val="left" w:pos="0"/>
        </w:tabs>
        <w:bidi/>
        <w:spacing w:line="360" w:lineRule="auto"/>
        <w:jc w:val="both"/>
        <w:rPr>
          <w:b/>
          <w:bCs/>
          <w:rtl/>
        </w:rPr>
      </w:pPr>
      <w:bookmarkStart w:id="218" w:name="_ETM_Q1_467000"/>
      <w:bookmarkEnd w:id="218"/>
      <w:r w:rsidRPr="00296500">
        <w:rPr>
          <w:b/>
          <w:bCs/>
          <w:rtl/>
        </w:rPr>
        <w:t xml:space="preserve">חוק עסקאות גופים ציבוריים </w:t>
      </w:r>
      <w:r w:rsidRPr="00296500">
        <w:rPr>
          <w:rFonts w:hint="cs"/>
          <w:b/>
          <w:bCs/>
          <w:rtl/>
        </w:rPr>
        <w:t xml:space="preserve">הוחמר והורחב, ונקבע </w:t>
      </w:r>
      <w:r w:rsidRPr="00296500">
        <w:rPr>
          <w:b/>
          <w:bCs/>
          <w:rtl/>
        </w:rPr>
        <w:t xml:space="preserve">שהתצהירים שנדרשו עד היום </w:t>
      </w:r>
      <w:bookmarkStart w:id="219" w:name="_ETM_Q1_483211"/>
      <w:bookmarkEnd w:id="219"/>
      <w:r w:rsidRPr="00296500">
        <w:rPr>
          <w:b/>
          <w:bCs/>
          <w:rtl/>
        </w:rPr>
        <w:t xml:space="preserve">לגבי </w:t>
      </w:r>
      <w:r w:rsidRPr="00296500">
        <w:rPr>
          <w:rFonts w:hint="cs"/>
          <w:b/>
          <w:bCs/>
          <w:rtl/>
        </w:rPr>
        <w:t>"</w:t>
      </w:r>
      <w:r w:rsidRPr="00296500">
        <w:rPr>
          <w:b/>
          <w:bCs/>
          <w:rtl/>
        </w:rPr>
        <w:t>בעלי השליטה</w:t>
      </w:r>
      <w:r w:rsidRPr="00296500">
        <w:rPr>
          <w:rFonts w:hint="cs"/>
          <w:b/>
          <w:bCs/>
          <w:rtl/>
        </w:rPr>
        <w:t>"</w:t>
      </w:r>
      <w:r w:rsidRPr="00296500">
        <w:rPr>
          <w:b/>
          <w:bCs/>
          <w:rtl/>
        </w:rPr>
        <w:t xml:space="preserve"> יצטרכו להיות מוגשים לגבי </w:t>
      </w:r>
      <w:r w:rsidRPr="00296500">
        <w:rPr>
          <w:rFonts w:hint="cs"/>
          <w:b/>
          <w:bCs/>
          <w:rtl/>
        </w:rPr>
        <w:t>"</w:t>
      </w:r>
      <w:r w:rsidRPr="00296500">
        <w:rPr>
          <w:b/>
          <w:bCs/>
          <w:rtl/>
        </w:rPr>
        <w:t>בעלי הזיקה</w:t>
      </w:r>
      <w:r w:rsidRPr="00296500">
        <w:rPr>
          <w:rFonts w:hint="cs"/>
          <w:b/>
          <w:bCs/>
          <w:rtl/>
        </w:rPr>
        <w:t>", כפי שהם מוגדרים</w:t>
      </w:r>
      <w:r w:rsidRPr="00296500">
        <w:rPr>
          <w:b/>
          <w:bCs/>
          <w:rtl/>
        </w:rPr>
        <w:t xml:space="preserve"> בחוק להגברת אכיפה</w:t>
      </w:r>
      <w:r w:rsidRPr="00296500">
        <w:rPr>
          <w:rFonts w:hint="cs"/>
          <w:b/>
          <w:bCs/>
          <w:rtl/>
        </w:rPr>
        <w:t>.</w:t>
      </w:r>
    </w:p>
    <w:p w:rsidR="000118BE" w:rsidRDefault="000118BE" w:rsidP="00A8553B">
      <w:pPr>
        <w:tabs>
          <w:tab w:val="left" w:pos="-110"/>
          <w:tab w:val="left" w:pos="0"/>
        </w:tabs>
        <w:bidi/>
        <w:spacing w:line="360" w:lineRule="auto"/>
        <w:jc w:val="both"/>
        <w:rPr>
          <w:rFonts w:ascii="Arial" w:hAnsi="Arial"/>
          <w:b/>
          <w:bCs/>
          <w:sz w:val="28"/>
          <w:szCs w:val="28"/>
          <w:rtl/>
        </w:rPr>
      </w:pPr>
      <w:r w:rsidRPr="00A852E1">
        <w:rPr>
          <w:rFonts w:hint="cs"/>
          <w:b/>
          <w:bCs/>
          <w:rtl/>
        </w:rPr>
        <w:lastRenderedPageBreak/>
        <w:t xml:space="preserve">אף על פי שתכליתו של חוק שירות המדינה (משמעת), התשכ"ג- 1963, להבטיח את טוהר המידות בשירות הציבורי ושמירה על הליך תקין, עובדי המועצות הדתיות לא היו כפופים לחוקי המשמעת שחלים על כל עובדי המדינה במשך שנים רבות. </w:t>
      </w:r>
    </w:p>
    <w:p w:rsidR="000118BE" w:rsidRDefault="000118BE" w:rsidP="00A8553B">
      <w:pPr>
        <w:tabs>
          <w:tab w:val="left" w:pos="-110"/>
          <w:tab w:val="left" w:pos="0"/>
        </w:tabs>
        <w:bidi/>
        <w:spacing w:line="360" w:lineRule="auto"/>
        <w:jc w:val="both"/>
        <w:rPr>
          <w:b/>
          <w:bCs/>
          <w:rtl/>
        </w:rPr>
      </w:pPr>
      <w:r w:rsidRPr="00A852E1">
        <w:rPr>
          <w:rFonts w:hint="cs"/>
          <w:b/>
          <w:bCs/>
          <w:rtl/>
        </w:rPr>
        <w:t>כתוצאה מכך, לא ניתן היה לטפל כראוי, ברמה המשמעתית, באי סדרים והתנהלות בלתי תקינה במועצות הדתיות, ואף הועלו טענות של הפליה בין עובדי המגזר הציבורי.</w:t>
      </w:r>
    </w:p>
    <w:p w:rsidR="000118BE" w:rsidRPr="00A852E1" w:rsidRDefault="000118BE" w:rsidP="00A8553B">
      <w:pPr>
        <w:tabs>
          <w:tab w:val="left" w:pos="-110"/>
          <w:tab w:val="left" w:pos="0"/>
        </w:tabs>
        <w:bidi/>
        <w:spacing w:line="360" w:lineRule="auto"/>
        <w:jc w:val="both"/>
        <w:rPr>
          <w:rFonts w:ascii="Arial" w:hAnsi="Arial"/>
          <w:b/>
          <w:bCs/>
          <w:sz w:val="28"/>
          <w:szCs w:val="28"/>
          <w:rtl/>
        </w:rPr>
      </w:pPr>
      <w:r w:rsidRPr="00A852E1">
        <w:rPr>
          <w:rFonts w:hint="cs"/>
          <w:b/>
          <w:bCs/>
          <w:rtl/>
        </w:rPr>
        <w:t>ביום 25.12.13 פורסמה הודעה בדבר החלת חוק שירות המדינה (משמעת) על עובדי המועצות הדתיות, וכעת העובדים הללו כפופים לחוקי המשמעת שחלים על כלל עובדי המדינה האחרים.</w:t>
      </w:r>
    </w:p>
    <w:p w:rsidR="000118BE" w:rsidRPr="00D24C9D" w:rsidRDefault="000118BE" w:rsidP="00A8553B">
      <w:pPr>
        <w:tabs>
          <w:tab w:val="left" w:pos="-110"/>
          <w:tab w:val="left" w:pos="0"/>
        </w:tabs>
        <w:bidi/>
        <w:spacing w:line="360" w:lineRule="auto"/>
        <w:jc w:val="both"/>
        <w:rPr>
          <w:sz w:val="22"/>
          <w:szCs w:val="22"/>
          <w:rtl/>
        </w:rPr>
      </w:pPr>
      <w:r>
        <w:rPr>
          <w:rFonts w:hint="cs"/>
          <w:sz w:val="22"/>
          <w:szCs w:val="22"/>
          <w:rtl/>
        </w:rPr>
        <w:t>פורסם ב</w:t>
      </w:r>
      <w:r w:rsidRPr="00D24C9D">
        <w:rPr>
          <w:sz w:val="22"/>
          <w:szCs w:val="22"/>
          <w:rtl/>
        </w:rPr>
        <w:t xml:space="preserve">קובץ התקנות 7332, כ' בשבט התשע"ד, </w:t>
      </w:r>
      <w:r>
        <w:rPr>
          <w:rFonts w:hint="cs"/>
          <w:sz w:val="22"/>
          <w:szCs w:val="22"/>
          <w:rtl/>
        </w:rPr>
        <w:t>21.1.14</w:t>
      </w:r>
    </w:p>
    <w:p w:rsidR="00657FAA" w:rsidRPr="00FF211E" w:rsidRDefault="00657FAA" w:rsidP="00A8553B">
      <w:pPr>
        <w:pStyle w:val="aa"/>
        <w:spacing w:line="360" w:lineRule="auto"/>
        <w:rPr>
          <w:color w:val="0000FF"/>
          <w:spacing w:val="-2"/>
          <w:sz w:val="20"/>
          <w:rtl/>
        </w:rPr>
      </w:pPr>
    </w:p>
    <w:p w:rsidR="000118BE" w:rsidRPr="00FF211E" w:rsidRDefault="000118BE" w:rsidP="001A3FF2">
      <w:pPr>
        <w:numPr>
          <w:ilvl w:val="0"/>
          <w:numId w:val="27"/>
        </w:numPr>
        <w:tabs>
          <w:tab w:val="left" w:pos="70"/>
        </w:tabs>
        <w:bidi/>
        <w:spacing w:line="360" w:lineRule="auto"/>
        <w:jc w:val="both"/>
        <w:rPr>
          <w:rFonts w:ascii="Arial" w:hAnsi="Arial"/>
          <w:b/>
          <w:bCs/>
          <w:color w:val="0000FF"/>
          <w:sz w:val="24"/>
          <w:u w:val="single"/>
          <w:rtl/>
        </w:rPr>
      </w:pPr>
      <w:r w:rsidRPr="00FF211E">
        <w:rPr>
          <w:rFonts w:ascii="Arial" w:hAnsi="Arial"/>
          <w:b/>
          <w:bCs/>
          <w:color w:val="0000FF"/>
          <w:sz w:val="24"/>
          <w:u w:val="single"/>
          <w:rtl/>
        </w:rPr>
        <w:t xml:space="preserve">תיקון </w:t>
      </w:r>
      <w:r w:rsidRPr="00FF211E">
        <w:rPr>
          <w:rFonts w:ascii="Arial" w:hAnsi="Arial" w:hint="cs"/>
          <w:b/>
          <w:bCs/>
          <w:color w:val="0000FF"/>
          <w:sz w:val="24"/>
          <w:u w:val="single"/>
          <w:rtl/>
        </w:rPr>
        <w:t>לחוק דמי מחלה (היעדרות בשל מחלת הורה) (תיקון מס' 3), התשנ"ד-2014</w:t>
      </w:r>
    </w:p>
    <w:p w:rsidR="000118BE" w:rsidRDefault="000118BE" w:rsidP="00346DF2">
      <w:pPr>
        <w:bidi/>
        <w:ind w:left="1260"/>
        <w:jc w:val="both"/>
        <w:rPr>
          <w:rFonts w:ascii="Arial" w:hAnsi="Arial"/>
          <w:b/>
          <w:bCs/>
          <w:color w:val="008000"/>
          <w:sz w:val="28"/>
          <w:szCs w:val="28"/>
          <w:u w:val="single"/>
          <w:rtl/>
        </w:rPr>
      </w:pPr>
    </w:p>
    <w:p w:rsidR="000118BE" w:rsidRPr="005E1E0D" w:rsidRDefault="000118BE" w:rsidP="00A8553B">
      <w:pPr>
        <w:tabs>
          <w:tab w:val="left" w:pos="-110"/>
          <w:tab w:val="left" w:pos="0"/>
        </w:tabs>
        <w:bidi/>
        <w:spacing w:line="360" w:lineRule="auto"/>
        <w:jc w:val="both"/>
        <w:rPr>
          <w:b/>
          <w:bCs/>
          <w:rtl/>
        </w:rPr>
      </w:pPr>
      <w:r w:rsidRPr="005E1E0D">
        <w:rPr>
          <w:rFonts w:hint="cs"/>
          <w:b/>
          <w:bCs/>
          <w:rtl/>
        </w:rPr>
        <w:t>ה</w:t>
      </w:r>
      <w:r w:rsidRPr="005E1E0D">
        <w:rPr>
          <w:b/>
          <w:bCs/>
          <w:rtl/>
        </w:rPr>
        <w:t>תיקון לחוק הרחיב את הזכאות להיעדרות בשל מחלת הורה ומחק את מגבלת גיל ההורה (65).</w:t>
      </w:r>
      <w:r w:rsidRPr="005E1E0D">
        <w:rPr>
          <w:rFonts w:hint="cs"/>
          <w:b/>
          <w:bCs/>
          <w:rtl/>
        </w:rPr>
        <w:t xml:space="preserve"> לפי התיקון, בזקיפת ימי היעדרות זכאי עובד להביא בחשבון, לפי בחירתו, גם חלקי ימים שבהם נעדר. חלקי ימים לעניין זה יחושבו לפי היחס שבין שעות ההיעדרות ובין שעות העבודה של העובד באותו יום אילולא נעדר. </w:t>
      </w:r>
      <w:r w:rsidRPr="005E1E0D">
        <w:rPr>
          <w:b/>
          <w:bCs/>
          <w:rtl/>
        </w:rPr>
        <w:t xml:space="preserve">יובהר, כי "הורה" </w:t>
      </w:r>
      <w:r w:rsidRPr="005E1E0D">
        <w:rPr>
          <w:rFonts w:hint="cs"/>
          <w:b/>
          <w:bCs/>
          <w:rtl/>
        </w:rPr>
        <w:t xml:space="preserve">מוגדר </w:t>
      </w:r>
      <w:r w:rsidRPr="005E1E0D">
        <w:rPr>
          <w:b/>
          <w:bCs/>
          <w:rtl/>
        </w:rPr>
        <w:t xml:space="preserve">גם </w:t>
      </w:r>
      <w:r w:rsidRPr="005E1E0D">
        <w:rPr>
          <w:rFonts w:hint="cs"/>
          <w:b/>
          <w:bCs/>
          <w:rtl/>
        </w:rPr>
        <w:t>כ</w:t>
      </w:r>
      <w:r w:rsidRPr="005E1E0D">
        <w:rPr>
          <w:b/>
          <w:bCs/>
          <w:rtl/>
        </w:rPr>
        <w:t>הורה של בן הזוג.</w:t>
      </w:r>
    </w:p>
    <w:p w:rsidR="000118BE" w:rsidRDefault="000118BE" w:rsidP="00A8553B">
      <w:pPr>
        <w:tabs>
          <w:tab w:val="left" w:pos="90"/>
        </w:tabs>
        <w:bidi/>
        <w:spacing w:line="360" w:lineRule="auto"/>
        <w:ind w:left="44"/>
        <w:jc w:val="both"/>
        <w:rPr>
          <w:sz w:val="22"/>
          <w:szCs w:val="22"/>
          <w:rtl/>
          <w:lang w:eastAsia="he-IL"/>
        </w:rPr>
      </w:pPr>
      <w:r>
        <w:rPr>
          <w:rFonts w:hint="cs"/>
          <w:sz w:val="22"/>
          <w:szCs w:val="22"/>
          <w:rtl/>
          <w:lang w:eastAsia="he-IL"/>
        </w:rPr>
        <w:t>פורסם ב</w:t>
      </w:r>
      <w:r w:rsidRPr="008A528B">
        <w:rPr>
          <w:sz w:val="22"/>
          <w:szCs w:val="22"/>
          <w:rtl/>
          <w:lang w:eastAsia="he-IL"/>
        </w:rPr>
        <w:t xml:space="preserve">ספר החוקים 2433, י"ג באדר א' התשע"ד, </w:t>
      </w:r>
      <w:r>
        <w:rPr>
          <w:rFonts w:hint="cs"/>
          <w:sz w:val="22"/>
          <w:szCs w:val="22"/>
          <w:rtl/>
          <w:lang w:eastAsia="he-IL"/>
        </w:rPr>
        <w:t>13.2.2014</w:t>
      </w:r>
    </w:p>
    <w:p w:rsidR="000118BE" w:rsidRPr="00FF211E" w:rsidRDefault="000118BE" w:rsidP="00A8553B">
      <w:pPr>
        <w:tabs>
          <w:tab w:val="left" w:pos="90"/>
        </w:tabs>
        <w:bidi/>
        <w:spacing w:line="360" w:lineRule="auto"/>
        <w:ind w:left="44"/>
        <w:jc w:val="both"/>
        <w:rPr>
          <w:color w:val="0000FF"/>
          <w:sz w:val="22"/>
          <w:szCs w:val="22"/>
          <w:rtl/>
          <w:lang w:eastAsia="he-IL"/>
        </w:rPr>
      </w:pPr>
    </w:p>
    <w:p w:rsidR="000118BE" w:rsidRPr="00FF211E" w:rsidRDefault="000118BE" w:rsidP="001A3FF2">
      <w:pPr>
        <w:numPr>
          <w:ilvl w:val="0"/>
          <w:numId w:val="27"/>
        </w:numPr>
        <w:tabs>
          <w:tab w:val="left" w:pos="70"/>
        </w:tabs>
        <w:bidi/>
        <w:spacing w:line="360" w:lineRule="auto"/>
        <w:jc w:val="both"/>
        <w:rPr>
          <w:rFonts w:ascii="Arial" w:hAnsi="Arial"/>
          <w:b/>
          <w:bCs/>
          <w:color w:val="0000FF"/>
          <w:sz w:val="24"/>
          <w:u w:val="single"/>
        </w:rPr>
      </w:pPr>
      <w:r w:rsidRPr="00FF211E">
        <w:rPr>
          <w:rFonts w:ascii="Arial" w:hAnsi="Arial" w:hint="cs"/>
          <w:b/>
          <w:bCs/>
          <w:color w:val="0000FF"/>
          <w:sz w:val="24"/>
          <w:u w:val="single"/>
          <w:rtl/>
        </w:rPr>
        <w:t>הרחבת הגדרת הטרדה מינית והתנכלות גם לפרסום תצלום, סרט או הקלטה,  המתמקד במיניותו של אדם, ללא הסכמתו לכך</w:t>
      </w:r>
    </w:p>
    <w:p w:rsidR="000118BE" w:rsidRPr="00AB2437" w:rsidRDefault="000118BE" w:rsidP="00346DF2">
      <w:pPr>
        <w:tabs>
          <w:tab w:val="left" w:pos="70"/>
        </w:tabs>
        <w:bidi/>
        <w:jc w:val="both"/>
        <w:rPr>
          <w:rFonts w:ascii="Arial" w:hAnsi="Arial"/>
          <w:b/>
          <w:bCs/>
          <w:color w:val="008000"/>
          <w:sz w:val="24"/>
          <w:u w:val="single"/>
          <w:rtl/>
        </w:rPr>
      </w:pPr>
    </w:p>
    <w:p w:rsidR="000118BE" w:rsidRDefault="000118BE" w:rsidP="00A8553B">
      <w:pPr>
        <w:tabs>
          <w:tab w:val="left" w:pos="-110"/>
          <w:tab w:val="left" w:pos="0"/>
        </w:tabs>
        <w:bidi/>
        <w:spacing w:line="360" w:lineRule="auto"/>
        <w:jc w:val="both"/>
        <w:rPr>
          <w:b/>
          <w:bCs/>
          <w:rtl/>
        </w:rPr>
      </w:pPr>
      <w:r w:rsidRPr="00AB2437">
        <w:rPr>
          <w:rFonts w:hint="cs"/>
          <w:b/>
          <w:bCs/>
          <w:rtl/>
        </w:rPr>
        <w:t>תיקון מס' 10 לחוק למניעת הטרדה מינית, התשנ"ח - 1998 קובע, כי הגדרת "</w:t>
      </w:r>
      <w:r w:rsidRPr="00AB2437">
        <w:rPr>
          <w:b/>
          <w:bCs/>
          <w:rtl/>
        </w:rPr>
        <w:t>הטרדה מינית והתנכלות"</w:t>
      </w:r>
      <w:r w:rsidRPr="00AB2437">
        <w:rPr>
          <w:rFonts w:hint="cs"/>
          <w:b/>
          <w:bCs/>
          <w:rtl/>
        </w:rPr>
        <w:t xml:space="preserve"> תחול גם על פרסום תצלום, סרט או הקלטה של אדם (לרבות עריכה או שילוב של כל אחד מהם, ובלבד שבנסיבות העניין ניתן לזהות את האדם), המתמקד במיניותו, בנסיבות שבהן הפרסום עלול להשפיל את האדם או לבזותו, ולא ניתנה הסכמתו לפרסום.</w:t>
      </w:r>
    </w:p>
    <w:p w:rsidR="000118BE" w:rsidRDefault="000118BE" w:rsidP="00A8553B">
      <w:pPr>
        <w:tabs>
          <w:tab w:val="left" w:pos="-110"/>
          <w:tab w:val="left" w:pos="0"/>
        </w:tabs>
        <w:bidi/>
        <w:spacing w:line="360" w:lineRule="auto"/>
        <w:jc w:val="both"/>
        <w:rPr>
          <w:sz w:val="22"/>
          <w:szCs w:val="22"/>
          <w:rtl/>
          <w:lang w:eastAsia="he-IL"/>
        </w:rPr>
      </w:pPr>
      <w:r>
        <w:rPr>
          <w:rFonts w:hint="cs"/>
          <w:sz w:val="22"/>
          <w:szCs w:val="22"/>
          <w:rtl/>
          <w:lang w:eastAsia="he-IL"/>
        </w:rPr>
        <w:t>פורסם ב</w:t>
      </w:r>
      <w:r w:rsidRPr="00597737">
        <w:rPr>
          <w:sz w:val="22"/>
          <w:szCs w:val="22"/>
          <w:rtl/>
          <w:lang w:eastAsia="he-IL"/>
        </w:rPr>
        <w:t>ספר החוקים 2428, ז' בשבט התשע"ד, 8 1 2014</w:t>
      </w:r>
    </w:p>
    <w:p w:rsidR="004432F3" w:rsidRPr="00FF211E" w:rsidRDefault="004432F3" w:rsidP="004432F3">
      <w:pPr>
        <w:tabs>
          <w:tab w:val="left" w:pos="-110"/>
          <w:tab w:val="left" w:pos="0"/>
        </w:tabs>
        <w:bidi/>
        <w:spacing w:line="360" w:lineRule="auto"/>
        <w:jc w:val="both"/>
        <w:rPr>
          <w:color w:val="0000FF"/>
          <w:sz w:val="22"/>
          <w:szCs w:val="22"/>
          <w:rtl/>
          <w:lang w:eastAsia="he-IL"/>
        </w:rPr>
      </w:pPr>
    </w:p>
    <w:p w:rsidR="000118BE" w:rsidRPr="00FF211E" w:rsidRDefault="000118BE" w:rsidP="001A3FF2">
      <w:pPr>
        <w:numPr>
          <w:ilvl w:val="0"/>
          <w:numId w:val="27"/>
        </w:numPr>
        <w:tabs>
          <w:tab w:val="left" w:pos="70"/>
        </w:tabs>
        <w:bidi/>
        <w:spacing w:line="360" w:lineRule="auto"/>
        <w:jc w:val="both"/>
        <w:rPr>
          <w:rFonts w:ascii="Arial" w:hAnsi="Arial"/>
          <w:b/>
          <w:bCs/>
          <w:color w:val="0000FF"/>
          <w:sz w:val="24"/>
          <w:u w:val="single"/>
        </w:rPr>
      </w:pPr>
      <w:r w:rsidRPr="00FF211E">
        <w:rPr>
          <w:rFonts w:ascii="Arial" w:hAnsi="Arial" w:hint="cs"/>
          <w:b/>
          <w:bCs/>
          <w:color w:val="0000FF"/>
          <w:sz w:val="24"/>
          <w:u w:val="single"/>
          <w:rtl/>
        </w:rPr>
        <w:t>תיקון מס' 9  לחוק למניעת הטרדה מינית, התשע"ד-2013 החמיר מעמד עובד ציבור בנסיבות המתאפיינות ביחסי מרות</w:t>
      </w:r>
    </w:p>
    <w:p w:rsidR="000118BE" w:rsidRPr="00AB2437" w:rsidRDefault="000118BE" w:rsidP="00346DF2">
      <w:pPr>
        <w:tabs>
          <w:tab w:val="left" w:pos="70"/>
        </w:tabs>
        <w:bidi/>
        <w:ind w:left="720"/>
        <w:jc w:val="both"/>
        <w:rPr>
          <w:rFonts w:ascii="Arial" w:hAnsi="Arial"/>
          <w:b/>
          <w:bCs/>
          <w:color w:val="008000"/>
          <w:sz w:val="24"/>
          <w:u w:val="single"/>
        </w:rPr>
      </w:pPr>
    </w:p>
    <w:p w:rsidR="000118BE" w:rsidRPr="004C6EF2" w:rsidRDefault="000118BE" w:rsidP="00A8553B">
      <w:pPr>
        <w:tabs>
          <w:tab w:val="left" w:pos="-110"/>
          <w:tab w:val="left" w:pos="0"/>
        </w:tabs>
        <w:bidi/>
        <w:spacing w:line="360" w:lineRule="auto"/>
        <w:jc w:val="both"/>
        <w:rPr>
          <w:b/>
          <w:bCs/>
          <w:rtl/>
        </w:rPr>
      </w:pPr>
      <w:r w:rsidRPr="004C6EF2">
        <w:rPr>
          <w:b/>
          <w:bCs/>
          <w:rtl/>
        </w:rPr>
        <w:t>סעיף 3(א)(6) לחוק</w:t>
      </w:r>
      <w:r w:rsidRPr="004C6EF2">
        <w:rPr>
          <w:rFonts w:hint="cs"/>
          <w:b/>
          <w:bCs/>
          <w:rtl/>
        </w:rPr>
        <w:t xml:space="preserve"> למניעת הטרדה מינית</w:t>
      </w:r>
      <w:r w:rsidRPr="004C6EF2">
        <w:rPr>
          <w:b/>
          <w:bCs/>
          <w:rtl/>
        </w:rPr>
        <w:t>- המפרט נסיבות המתאפיינות ביחסי מרות שבהתקיימן ייחשבו להטרדה מינית גם אם המוטרד לא הביע התנגדות לכך- הורחב ונכללה בו הוראה (תת סעיף ח')</w:t>
      </w:r>
      <w:r w:rsidRPr="004C6EF2">
        <w:rPr>
          <w:rFonts w:hint="cs"/>
          <w:b/>
          <w:bCs/>
          <w:rtl/>
        </w:rPr>
        <w:t>,</w:t>
      </w:r>
      <w:r w:rsidRPr="004C6EF2">
        <w:rPr>
          <w:b/>
          <w:bCs/>
          <w:rtl/>
        </w:rPr>
        <w:t xml:space="preserve"> שעניינה ניצול של יחסי מרות ותלות בין אדם לבין עובד ציבו</w:t>
      </w:r>
      <w:r w:rsidR="00F56804">
        <w:rPr>
          <w:b/>
          <w:bCs/>
          <w:rtl/>
        </w:rPr>
        <w:t>ר במילוי תפקידו או בקשר לתפקידו</w:t>
      </w:r>
      <w:r w:rsidRPr="004C6EF2">
        <w:rPr>
          <w:b/>
          <w:bCs/>
          <w:rtl/>
        </w:rPr>
        <w:t xml:space="preserve">/ מתוקף מעמדו הציבורי. </w:t>
      </w:r>
    </w:p>
    <w:p w:rsidR="000118BE" w:rsidRPr="004C6EF2" w:rsidRDefault="000118BE" w:rsidP="00A8553B">
      <w:pPr>
        <w:tabs>
          <w:tab w:val="left" w:pos="-110"/>
          <w:tab w:val="left" w:pos="0"/>
        </w:tabs>
        <w:bidi/>
        <w:spacing w:line="360" w:lineRule="auto"/>
        <w:jc w:val="both"/>
        <w:rPr>
          <w:b/>
          <w:bCs/>
        </w:rPr>
      </w:pPr>
      <w:r w:rsidRPr="004C6EF2">
        <w:rPr>
          <w:b/>
          <w:bCs/>
          <w:rtl/>
        </w:rPr>
        <w:t>החוק מפנה להגדרה הרחבה של "עובד ציבור" עפ"י הגדרתו בסעיף 34כד לחוק העונשין</w:t>
      </w:r>
      <w:r w:rsidRPr="004C6EF2">
        <w:rPr>
          <w:rFonts w:hint="cs"/>
          <w:b/>
          <w:bCs/>
          <w:rtl/>
        </w:rPr>
        <w:t>, ה</w:t>
      </w:r>
      <w:r w:rsidRPr="004C6EF2">
        <w:rPr>
          <w:b/>
          <w:bCs/>
          <w:rtl/>
        </w:rPr>
        <w:t>כוללת לא רק עובדי מדינה ורשויות מקומיות אלא גם נבחרי ציבור, עובדי תאגידים ציבוריים/ חברות ממשלתיות ועוד.</w:t>
      </w:r>
    </w:p>
    <w:p w:rsidR="000118BE" w:rsidRPr="004C6EF2" w:rsidRDefault="000118BE" w:rsidP="00A8553B">
      <w:pPr>
        <w:tabs>
          <w:tab w:val="left" w:pos="-110"/>
          <w:tab w:val="left" w:pos="0"/>
        </w:tabs>
        <w:bidi/>
        <w:spacing w:line="360" w:lineRule="auto"/>
        <w:jc w:val="both"/>
        <w:rPr>
          <w:b/>
          <w:bCs/>
          <w:rtl/>
        </w:rPr>
      </w:pPr>
      <w:r w:rsidRPr="004C6EF2">
        <w:rPr>
          <w:b/>
          <w:bCs/>
          <w:rtl/>
        </w:rPr>
        <w:t>על מנת שההתייחסויות ייחשבו להטרדה מינית יהיה צורך להוכיח:</w:t>
      </w:r>
    </w:p>
    <w:p w:rsidR="000118BE" w:rsidRDefault="000118BE" w:rsidP="00A8553B">
      <w:pPr>
        <w:numPr>
          <w:ilvl w:val="0"/>
          <w:numId w:val="35"/>
        </w:numPr>
        <w:tabs>
          <w:tab w:val="left" w:pos="-110"/>
          <w:tab w:val="left" w:pos="0"/>
        </w:tabs>
        <w:bidi/>
        <w:spacing w:line="360" w:lineRule="auto"/>
        <w:jc w:val="both"/>
        <w:rPr>
          <w:b/>
          <w:bCs/>
        </w:rPr>
      </w:pPr>
      <w:r w:rsidRPr="004C6EF2">
        <w:rPr>
          <w:b/>
          <w:bCs/>
          <w:rtl/>
        </w:rPr>
        <w:lastRenderedPageBreak/>
        <w:t>כי התקיימו יחסי מרות/ תלות.</w:t>
      </w:r>
      <w:bookmarkStart w:id="220" w:name="_GoBack"/>
      <w:bookmarkEnd w:id="220"/>
    </w:p>
    <w:p w:rsidR="000118BE" w:rsidRDefault="000118BE" w:rsidP="00A8553B">
      <w:pPr>
        <w:numPr>
          <w:ilvl w:val="0"/>
          <w:numId w:val="35"/>
        </w:numPr>
        <w:tabs>
          <w:tab w:val="left" w:pos="-110"/>
          <w:tab w:val="left" w:pos="0"/>
        </w:tabs>
        <w:bidi/>
        <w:spacing w:line="360" w:lineRule="auto"/>
        <w:jc w:val="both"/>
        <w:rPr>
          <w:b/>
          <w:bCs/>
        </w:rPr>
      </w:pPr>
      <w:r w:rsidRPr="004C6EF2">
        <w:rPr>
          <w:b/>
          <w:bCs/>
          <w:rtl/>
        </w:rPr>
        <w:t>כי הדבר נעשה תוך ניצול יחסים אלו בקשר לתפקיד הציבורי.</w:t>
      </w:r>
    </w:p>
    <w:p w:rsidR="000118BE" w:rsidRPr="004C6EF2" w:rsidRDefault="000118BE" w:rsidP="00A8553B">
      <w:pPr>
        <w:numPr>
          <w:ilvl w:val="0"/>
          <w:numId w:val="35"/>
        </w:numPr>
        <w:tabs>
          <w:tab w:val="left" w:pos="-110"/>
          <w:tab w:val="left" w:pos="0"/>
        </w:tabs>
        <w:bidi/>
        <w:spacing w:line="360" w:lineRule="auto"/>
        <w:jc w:val="both"/>
        <w:rPr>
          <w:b/>
          <w:bCs/>
          <w:rtl/>
        </w:rPr>
      </w:pPr>
      <w:r w:rsidRPr="004C6EF2">
        <w:rPr>
          <w:b/>
          <w:bCs/>
          <w:rtl/>
        </w:rPr>
        <w:t>כי עובד הציבור השתמש לרעה בסמכותו.</w:t>
      </w:r>
    </w:p>
    <w:p w:rsidR="000118BE" w:rsidRDefault="000118BE" w:rsidP="00A8553B">
      <w:pPr>
        <w:tabs>
          <w:tab w:val="left" w:pos="-110"/>
          <w:tab w:val="left" w:pos="0"/>
        </w:tabs>
        <w:bidi/>
        <w:spacing w:line="360" w:lineRule="auto"/>
        <w:jc w:val="both"/>
        <w:rPr>
          <w:b/>
          <w:bCs/>
          <w:rtl/>
        </w:rPr>
      </w:pPr>
      <w:r w:rsidRPr="004C6EF2">
        <w:rPr>
          <w:rFonts w:hint="cs"/>
          <w:b/>
          <w:bCs/>
          <w:rtl/>
        </w:rPr>
        <w:t>לא יהיה צורך להוכיח כי המוטרד הביע התנגדות</w:t>
      </w:r>
    </w:p>
    <w:p w:rsidR="000118BE" w:rsidRDefault="000118BE" w:rsidP="00A8553B">
      <w:pPr>
        <w:tabs>
          <w:tab w:val="left" w:pos="-110"/>
          <w:tab w:val="left" w:pos="0"/>
        </w:tabs>
        <w:bidi/>
        <w:spacing w:line="360" w:lineRule="auto"/>
        <w:jc w:val="both"/>
        <w:rPr>
          <w:sz w:val="22"/>
          <w:szCs w:val="22"/>
          <w:rtl/>
          <w:lang w:eastAsia="he-IL"/>
        </w:rPr>
      </w:pPr>
      <w:r>
        <w:rPr>
          <w:rFonts w:hint="cs"/>
          <w:sz w:val="22"/>
          <w:szCs w:val="22"/>
          <w:rtl/>
          <w:lang w:eastAsia="he-IL"/>
        </w:rPr>
        <w:t>פורסם ב</w:t>
      </w:r>
      <w:r w:rsidRPr="00784B24">
        <w:rPr>
          <w:sz w:val="22"/>
          <w:szCs w:val="22"/>
          <w:rtl/>
          <w:lang w:eastAsia="he-IL"/>
        </w:rPr>
        <w:t xml:space="preserve">ספר החוקים 2415, כ"ה בכסלו התשע"ד, </w:t>
      </w:r>
      <w:r>
        <w:rPr>
          <w:rFonts w:hint="cs"/>
          <w:sz w:val="22"/>
          <w:szCs w:val="22"/>
          <w:rtl/>
          <w:lang w:eastAsia="he-IL"/>
        </w:rPr>
        <w:t>28.11.13</w:t>
      </w:r>
    </w:p>
    <w:p w:rsidR="000118BE" w:rsidRPr="00FF211E" w:rsidRDefault="000118BE" w:rsidP="00A8553B">
      <w:pPr>
        <w:tabs>
          <w:tab w:val="left" w:pos="-110"/>
          <w:tab w:val="left" w:pos="0"/>
        </w:tabs>
        <w:bidi/>
        <w:spacing w:line="360" w:lineRule="auto"/>
        <w:jc w:val="both"/>
        <w:rPr>
          <w:color w:val="0000FF"/>
          <w:sz w:val="22"/>
          <w:szCs w:val="22"/>
          <w:rtl/>
          <w:lang w:eastAsia="he-IL"/>
        </w:rPr>
      </w:pPr>
    </w:p>
    <w:p w:rsidR="000118BE" w:rsidRPr="00FF211E" w:rsidRDefault="000118BE" w:rsidP="001A3FF2">
      <w:pPr>
        <w:numPr>
          <w:ilvl w:val="0"/>
          <w:numId w:val="27"/>
        </w:numPr>
        <w:tabs>
          <w:tab w:val="left" w:pos="70"/>
        </w:tabs>
        <w:bidi/>
        <w:spacing w:line="360" w:lineRule="auto"/>
        <w:jc w:val="both"/>
        <w:rPr>
          <w:rFonts w:ascii="Arial" w:hAnsi="Arial"/>
          <w:b/>
          <w:bCs/>
          <w:color w:val="0000FF"/>
          <w:sz w:val="24"/>
          <w:u w:val="single"/>
        </w:rPr>
      </w:pPr>
      <w:r w:rsidRPr="00FF211E">
        <w:rPr>
          <w:rFonts w:ascii="Arial" w:hAnsi="Arial" w:hint="cs"/>
          <w:b/>
          <w:bCs/>
          <w:color w:val="0000FF"/>
          <w:sz w:val="24"/>
          <w:u w:val="single"/>
          <w:rtl/>
        </w:rPr>
        <w:t>אגרה מופחתת לתביעה בשל הטרדה מינית בבית-הדין לעבודה או לתביעת נזיקין בשל עבירות מין</w:t>
      </w:r>
    </w:p>
    <w:p w:rsidR="000118BE" w:rsidRPr="00AB2437" w:rsidRDefault="000118BE" w:rsidP="00346DF2">
      <w:pPr>
        <w:tabs>
          <w:tab w:val="left" w:pos="70"/>
        </w:tabs>
        <w:bidi/>
        <w:ind w:left="720"/>
        <w:jc w:val="both"/>
        <w:rPr>
          <w:rFonts w:ascii="Arial" w:hAnsi="Arial"/>
          <w:b/>
          <w:bCs/>
          <w:color w:val="008000"/>
          <w:sz w:val="24"/>
          <w:u w:val="single"/>
        </w:rPr>
      </w:pPr>
    </w:p>
    <w:p w:rsidR="000118BE" w:rsidRPr="005D2ED9" w:rsidRDefault="000118BE" w:rsidP="00A8553B">
      <w:pPr>
        <w:tabs>
          <w:tab w:val="left" w:pos="-110"/>
          <w:tab w:val="left" w:pos="0"/>
        </w:tabs>
        <w:bidi/>
        <w:spacing w:line="360" w:lineRule="auto"/>
        <w:jc w:val="both"/>
        <w:rPr>
          <w:b/>
          <w:bCs/>
          <w:rtl/>
        </w:rPr>
      </w:pPr>
      <w:r w:rsidRPr="005D2ED9">
        <w:rPr>
          <w:rFonts w:hint="cs"/>
          <w:b/>
          <w:bCs/>
          <w:rtl/>
        </w:rPr>
        <w:t>בקובץ התקנות 7350 מיום 6.3.14, פורסמו תיקונים של שרת המשפטים בעניין תשלום אגרה מופחתת בתביעות בשל הטרדה מינית בבית-הדין לעבודה, או בתביעות נזיקין בשל עבירות מין.</w:t>
      </w:r>
    </w:p>
    <w:p w:rsidR="000118BE" w:rsidRPr="005D2ED9" w:rsidRDefault="000118BE" w:rsidP="00A8553B">
      <w:pPr>
        <w:tabs>
          <w:tab w:val="left" w:pos="-110"/>
          <w:tab w:val="left" w:pos="0"/>
        </w:tabs>
        <w:bidi/>
        <w:spacing w:line="360" w:lineRule="auto"/>
        <w:jc w:val="both"/>
        <w:rPr>
          <w:b/>
          <w:bCs/>
          <w:rtl/>
        </w:rPr>
      </w:pPr>
      <w:r w:rsidRPr="005D2ED9">
        <w:rPr>
          <w:rFonts w:hint="cs"/>
          <w:b/>
          <w:bCs/>
          <w:rtl/>
        </w:rPr>
        <w:t>על פי ס' 6א לתקנות בית הדין לעבודה (אגרות)(תיקון), התשע"ד-2014, בתביעות לפי חוק למניעת הטרדה מינית, התשנ"ח-1988, נקבע תשלום אגרה מופחתת לפי פרט 8 שבתוספת הראשונה.</w:t>
      </w:r>
    </w:p>
    <w:p w:rsidR="000118BE" w:rsidRPr="005D2ED9" w:rsidRDefault="000118BE" w:rsidP="00A8553B">
      <w:pPr>
        <w:tabs>
          <w:tab w:val="left" w:pos="-110"/>
          <w:tab w:val="left" w:pos="0"/>
        </w:tabs>
        <w:bidi/>
        <w:spacing w:line="360" w:lineRule="auto"/>
        <w:jc w:val="both"/>
        <w:rPr>
          <w:b/>
          <w:bCs/>
          <w:rtl/>
        </w:rPr>
      </w:pPr>
      <w:r w:rsidRPr="005D2ED9">
        <w:rPr>
          <w:rFonts w:hint="cs"/>
          <w:b/>
          <w:bCs/>
          <w:rtl/>
        </w:rPr>
        <w:t>על פי ס' 5א לתקנות בתי המשפט (אגרות)(תיקון), התשע"ד-2014, בתביעות שיוגשו בשל עבירות מין, כמפורט בסעיף, נקבע תשלום אגרה מופחתת לפי פרט 2א או 9א שבתוספת.</w:t>
      </w:r>
    </w:p>
    <w:p w:rsidR="000118BE" w:rsidRDefault="000118BE" w:rsidP="00A8553B">
      <w:pPr>
        <w:tabs>
          <w:tab w:val="left" w:pos="-110"/>
          <w:tab w:val="left" w:pos="0"/>
        </w:tabs>
        <w:bidi/>
        <w:spacing w:line="360" w:lineRule="auto"/>
        <w:jc w:val="both"/>
        <w:rPr>
          <w:b/>
          <w:bCs/>
          <w:rtl/>
        </w:rPr>
      </w:pPr>
      <w:r w:rsidRPr="005D2ED9">
        <w:rPr>
          <w:rFonts w:hint="cs"/>
          <w:b/>
          <w:bCs/>
          <w:rtl/>
        </w:rPr>
        <w:t>התקנות ייכנסו לתוקף 30 יום מיום פרסומן.</w:t>
      </w:r>
    </w:p>
    <w:p w:rsidR="000118BE" w:rsidRDefault="000118BE" w:rsidP="00A8553B">
      <w:pPr>
        <w:tabs>
          <w:tab w:val="left" w:pos="-110"/>
          <w:tab w:val="left" w:pos="0"/>
        </w:tabs>
        <w:bidi/>
        <w:spacing w:line="360" w:lineRule="auto"/>
        <w:jc w:val="both"/>
        <w:rPr>
          <w:b/>
          <w:bCs/>
          <w:rtl/>
        </w:rPr>
      </w:pPr>
      <w:r>
        <w:rPr>
          <w:rFonts w:hint="cs"/>
          <w:sz w:val="22"/>
          <w:szCs w:val="22"/>
          <w:rtl/>
          <w:lang w:eastAsia="he-IL"/>
        </w:rPr>
        <w:t>פורסם בק</w:t>
      </w:r>
      <w:r w:rsidRPr="0074126B">
        <w:rPr>
          <w:sz w:val="22"/>
          <w:szCs w:val="22"/>
          <w:rtl/>
          <w:lang w:eastAsia="he-IL"/>
        </w:rPr>
        <w:t xml:space="preserve">ובץ התקנות 7350, ד' באדר ב' התשע"ד, </w:t>
      </w:r>
      <w:r w:rsidRPr="0074126B">
        <w:rPr>
          <w:rFonts w:hint="cs"/>
          <w:rtl/>
        </w:rPr>
        <w:t>6.3.14</w:t>
      </w:r>
    </w:p>
    <w:p w:rsidR="000118BE" w:rsidRDefault="000118BE" w:rsidP="00A8553B">
      <w:pPr>
        <w:tabs>
          <w:tab w:val="left" w:pos="-110"/>
          <w:tab w:val="left" w:pos="0"/>
        </w:tabs>
        <w:bidi/>
        <w:spacing w:line="360" w:lineRule="auto"/>
        <w:jc w:val="both"/>
        <w:rPr>
          <w:b/>
          <w:bCs/>
          <w:rtl/>
        </w:rPr>
      </w:pPr>
    </w:p>
    <w:p w:rsidR="000118BE" w:rsidRPr="00FF211E" w:rsidRDefault="000118BE" w:rsidP="001A3FF2">
      <w:pPr>
        <w:numPr>
          <w:ilvl w:val="0"/>
          <w:numId w:val="27"/>
        </w:numPr>
        <w:tabs>
          <w:tab w:val="left" w:pos="70"/>
        </w:tabs>
        <w:bidi/>
        <w:spacing w:line="360" w:lineRule="auto"/>
        <w:jc w:val="both"/>
        <w:rPr>
          <w:rFonts w:ascii="Arial" w:hAnsi="Arial"/>
          <w:b/>
          <w:bCs/>
          <w:color w:val="0000FF"/>
          <w:sz w:val="24"/>
          <w:u w:val="single"/>
        </w:rPr>
      </w:pPr>
      <w:r w:rsidRPr="00FF211E">
        <w:rPr>
          <w:rFonts w:ascii="Arial" w:hAnsi="Arial" w:hint="cs"/>
          <w:b/>
          <w:bCs/>
          <w:color w:val="0000FF"/>
          <w:sz w:val="24"/>
          <w:u w:val="single"/>
          <w:rtl/>
        </w:rPr>
        <w:t>חובת התייחסות למגדר בעת דיווח אודות שכר עובדים, תיצור שקיפות ותסייע בהעלאת המודעות לבעיית פערי השכר בין גברים לנשים</w:t>
      </w:r>
    </w:p>
    <w:p w:rsidR="000118BE" w:rsidRDefault="000118BE" w:rsidP="00346DF2">
      <w:pPr>
        <w:tabs>
          <w:tab w:val="left" w:pos="-110"/>
          <w:tab w:val="left" w:pos="0"/>
        </w:tabs>
        <w:bidi/>
        <w:jc w:val="both"/>
        <w:rPr>
          <w:rFonts w:ascii="Arial" w:hAnsi="Arial"/>
          <w:b/>
          <w:bCs/>
          <w:color w:val="008000"/>
          <w:sz w:val="24"/>
          <w:u w:val="single"/>
          <w:rtl/>
        </w:rPr>
      </w:pPr>
    </w:p>
    <w:p w:rsidR="000118BE" w:rsidRPr="005D2ED9" w:rsidRDefault="000118BE" w:rsidP="00A12D8C">
      <w:pPr>
        <w:tabs>
          <w:tab w:val="left" w:pos="-110"/>
          <w:tab w:val="left" w:pos="0"/>
        </w:tabs>
        <w:bidi/>
        <w:spacing w:line="360" w:lineRule="auto"/>
        <w:jc w:val="both"/>
        <w:rPr>
          <w:b/>
          <w:bCs/>
        </w:rPr>
      </w:pPr>
      <w:r w:rsidRPr="00D76FB0">
        <w:rPr>
          <w:rFonts w:hint="cs"/>
          <w:b/>
          <w:bCs/>
          <w:rtl/>
        </w:rPr>
        <w:t>מטרתו של חוק שכר שווה לעובדת ולעובד הינו לקדם שוויון בין עובדות לעובדים ולצמצם את פערי השכר ביניהם. על מנת להגביר את שקיפות המידע בנוגע לנתוני השכר ולהתמודדות עם הפליית נשים, הוצע תיקון לחוק לפיו, מי שמוטלת עליו חובה, לפי חוק, לפרסם מידע או לדווח על שכר של עובדים ונושאי משרה, יכלול בפרסום או בדיווח, התייחסות לפי מין. עוד הוצע בתיקון לחוק כי חברות ממשלתיות יתווספו לרשימת הגופים הציבוריים המחויבים לפרסם מידע תוך התייחסות למין העובדים.</w:t>
      </w:r>
      <w:r w:rsidR="00A12D8C">
        <w:rPr>
          <w:rFonts w:hint="cs"/>
          <w:b/>
          <w:bCs/>
          <w:rtl/>
        </w:rPr>
        <w:t xml:space="preserve"> </w:t>
      </w:r>
      <w:r w:rsidRPr="00D76FB0">
        <w:rPr>
          <w:rFonts w:hint="cs"/>
          <w:b/>
          <w:bCs/>
          <w:rtl/>
        </w:rPr>
        <w:t>ביום 4.3.14, אישרה מליאת הכנסת בקריאה שנייה ושלישית את הצעת החוק</w:t>
      </w:r>
      <w:r w:rsidR="00A12D8C">
        <w:rPr>
          <w:rFonts w:hint="cs"/>
          <w:b/>
          <w:bCs/>
          <w:rtl/>
        </w:rPr>
        <w:t>.</w:t>
      </w:r>
    </w:p>
    <w:p w:rsidR="00F07850" w:rsidRDefault="000118BE" w:rsidP="00A12D8C">
      <w:pPr>
        <w:tabs>
          <w:tab w:val="left" w:pos="-110"/>
          <w:tab w:val="left" w:pos="0"/>
        </w:tabs>
        <w:bidi/>
        <w:spacing w:line="360" w:lineRule="auto"/>
        <w:jc w:val="both"/>
        <w:rPr>
          <w:rtl/>
        </w:rPr>
      </w:pPr>
      <w:r w:rsidRPr="00F926B3">
        <w:rPr>
          <w:sz w:val="22"/>
          <w:szCs w:val="22"/>
          <w:rtl/>
          <w:lang w:eastAsia="he-IL"/>
        </w:rPr>
        <w:t xml:space="preserve">הצעות חוק הכנסת </w:t>
      </w:r>
      <w:r>
        <w:rPr>
          <w:rFonts w:hint="cs"/>
          <w:sz w:val="22"/>
          <w:szCs w:val="22"/>
          <w:rtl/>
          <w:lang w:eastAsia="he-IL"/>
        </w:rPr>
        <w:t>-</w:t>
      </w:r>
      <w:r>
        <w:rPr>
          <w:sz w:val="22"/>
          <w:szCs w:val="22"/>
          <w:rtl/>
          <w:lang w:eastAsia="he-IL"/>
        </w:rPr>
        <w:t xml:space="preserve"> 538, י"א באדר א' התשע"ד,</w:t>
      </w:r>
      <w:r>
        <w:rPr>
          <w:rFonts w:hint="cs"/>
          <w:sz w:val="22"/>
          <w:szCs w:val="22"/>
          <w:rtl/>
          <w:lang w:eastAsia="he-IL"/>
        </w:rPr>
        <w:t xml:space="preserve"> 11.2.14</w:t>
      </w:r>
    </w:p>
    <w:sectPr w:rsidR="00F07850" w:rsidSect="00B45B66">
      <w:headerReference w:type="default" r:id="rId35"/>
      <w:pgSz w:w="11906" w:h="16838"/>
      <w:pgMar w:top="1871" w:right="1701" w:bottom="1985" w:left="1418"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847" w:rsidRDefault="00F46847">
      <w:r>
        <w:separator/>
      </w:r>
    </w:p>
  </w:endnote>
  <w:endnote w:type="continuationSeparator" w:id="0">
    <w:p w:rsidR="00F46847" w:rsidRDefault="00F46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arkisTam">
    <w:panose1 w:val="00000000000000000000"/>
    <w:charset w:val="B1"/>
    <w:family w:val="auto"/>
    <w:pitch w:val="variable"/>
    <w:sig w:usb0="00000801" w:usb1="00000000" w:usb2="00000000" w:usb3="00000000" w:csb0="00000020" w:csb1="00000000"/>
  </w:font>
  <w:font w:name="NarkisTam Light">
    <w:panose1 w:val="00000000000000000000"/>
    <w:charset w:val="B1"/>
    <w:family w:val="auto"/>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Arial TUR">
    <w:charset w:val="00"/>
    <w:family w:val="swiss"/>
    <w:pitch w:val="variable"/>
    <w:sig w:usb0="E0002AFF" w:usb1="00007843" w:usb2="00000001" w:usb3="00000000" w:csb0="000001FF" w:csb1="00000000"/>
  </w:font>
  <w:font w:name="FrankRuehl">
    <w:panose1 w:val="020E0503060101010101"/>
    <w:charset w:val="B1"/>
    <w:family w:val="auto"/>
    <w:pitch w:val="variable"/>
    <w:sig w:usb0="00000801" w:usb1="00000000" w:usb2="00000000" w:usb3="00000000" w:csb0="00000020" w:csb1="00000000"/>
  </w:font>
  <w:font w:name="Arial Unicode MS">
    <w:panose1 w:val="020B0604020202020204"/>
    <w:charset w:val="00"/>
    <w:family w:val="roman"/>
    <w:notTrueType/>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5F" w:usb2="00000000" w:usb3="00000000" w:csb0="0000019F" w:csb1="00000000"/>
  </w:font>
  <w:font w:name="a_Miriam">
    <w:altName w:val="Courier New"/>
    <w:panose1 w:val="020B7200000000000000"/>
    <w:charset w:val="00"/>
    <w:family w:val="swiss"/>
    <w:pitch w:val="variable"/>
    <w:sig w:usb0="00000003" w:usb1="00000000" w:usb2="00000000" w:usb3="00000000" w:csb0="00000001" w:csb1="00000000"/>
  </w:font>
  <w:font w:name="Hayim">
    <w:panose1 w:val="00000000000000000000"/>
    <w:charset w:val="B1"/>
    <w:family w:val="auto"/>
    <w:pitch w:val="variable"/>
    <w:sig w:usb0="00000801" w:usb1="00000000" w:usb2="00000000" w:usb3="00000000" w:csb0="00000020" w:csb1="00000000"/>
  </w:font>
  <w:font w:name="a_Haim">
    <w:altName w:val="Courier New"/>
    <w:panose1 w:val="020BE200000000000000"/>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847" w:rsidRDefault="00F46847" w:rsidP="002C2434">
    <w:pPr>
      <w:pStyle w:val="a8"/>
      <w:framePr w:wrap="around" w:vAnchor="text" w:hAnchor="text" w:y="1"/>
      <w:rPr>
        <w:rStyle w:val="a6"/>
      </w:rPr>
    </w:pPr>
    <w:r>
      <w:rPr>
        <w:rStyle w:val="a6"/>
      </w:rPr>
      <w:fldChar w:fldCharType="begin"/>
    </w:r>
    <w:r>
      <w:rPr>
        <w:rStyle w:val="a6"/>
      </w:rPr>
      <w:instrText xml:space="preserve">PAGE  </w:instrText>
    </w:r>
    <w:r>
      <w:rPr>
        <w:rStyle w:val="a6"/>
      </w:rPr>
      <w:fldChar w:fldCharType="end"/>
    </w:r>
  </w:p>
  <w:p w:rsidR="00F46847" w:rsidRDefault="00F46847" w:rsidP="002C2434">
    <w:pPr>
      <w:pStyle w:val="a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847" w:rsidRDefault="00F46847" w:rsidP="002A4831">
    <w:pPr>
      <w:pStyle w:val="a8"/>
      <w:framePr w:wrap="around" w:vAnchor="text" w:hAnchor="text" w:y="1"/>
      <w:suppressLineNumbers/>
      <w:rPr>
        <w:rStyle w:val="a6"/>
      </w:rPr>
    </w:pP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p w:rsidR="00F46847" w:rsidRPr="00465292" w:rsidRDefault="00F46847" w:rsidP="002A4831">
    <w:pPr>
      <w:suppressLineNumbers/>
      <w:pBdr>
        <w:top w:val="single" w:sz="4" w:space="1" w:color="auto"/>
        <w:left w:val="single" w:sz="4" w:space="4" w:color="auto"/>
        <w:bottom w:val="single" w:sz="4" w:space="0" w:color="auto"/>
        <w:right w:val="single" w:sz="4" w:space="1" w:color="auto"/>
      </w:pBdr>
      <w:ind w:firstLine="360"/>
      <w:jc w:val="center"/>
      <w:rPr>
        <w:b/>
        <w:bCs/>
        <w:szCs w:val="20"/>
      </w:rPr>
    </w:pPr>
    <w:r w:rsidRPr="00465292">
      <w:rPr>
        <w:b/>
        <w:bCs/>
        <w:szCs w:val="20"/>
        <w:rtl/>
      </w:rPr>
      <w:t>האמור בחוברת זו אינו מהווה חוות דעת משפטית</w:t>
    </w:r>
  </w:p>
  <w:p w:rsidR="00F46847" w:rsidRPr="003C7B9B" w:rsidRDefault="00F46847" w:rsidP="002A4831">
    <w:pPr>
      <w:pStyle w:val="14"/>
      <w:suppressLineNumbers/>
      <w:jc w:val="center"/>
      <w:rPr>
        <w:sz w:val="22"/>
        <w:szCs w:val="18"/>
      </w:rPr>
    </w:pPr>
    <w:r w:rsidRPr="003C7B9B">
      <w:rPr>
        <w:rFonts w:cs="Hayim"/>
        <w:b/>
        <w:bCs/>
        <w:spacing w:val="-5"/>
        <w:sz w:val="20"/>
        <w:szCs w:val="26"/>
        <w:rtl/>
      </w:rPr>
      <w:t>חיים ברנזון,</w:t>
    </w:r>
    <w:r w:rsidRPr="003C7B9B">
      <w:rPr>
        <w:rFonts w:cs="NarkisTam Light"/>
        <w:spacing w:val="-5"/>
        <w:sz w:val="20"/>
        <w:szCs w:val="18"/>
        <w:rtl/>
      </w:rPr>
      <w:t xml:space="preserve"> </w:t>
    </w:r>
    <w:r w:rsidRPr="003C7B9B">
      <w:rPr>
        <w:rFonts w:cs="NarkisTam Light"/>
        <w:spacing w:val="-5"/>
        <w:sz w:val="20"/>
        <w:szCs w:val="16"/>
        <w:rtl/>
      </w:rPr>
      <w:t>משרד עורכי דין, חבצלת השרון 60, הרצליה פיתוח</w:t>
    </w:r>
    <w:r w:rsidRPr="003C7B9B">
      <w:rPr>
        <w:rFonts w:cs="NarkisTam Light"/>
        <w:spacing w:val="-5"/>
        <w:sz w:val="20"/>
        <w:szCs w:val="18"/>
        <w:rtl/>
      </w:rPr>
      <w:t xml:space="preserve"> 4674</w:t>
    </w:r>
    <w:r w:rsidRPr="006271BC">
      <w:rPr>
        <w:rFonts w:cs="NarkisTam Light"/>
        <w:spacing w:val="-5"/>
        <w:sz w:val="18"/>
        <w:szCs w:val="18"/>
        <w:rtl/>
      </w:rPr>
      <w:t>7</w:t>
    </w:r>
    <w:r w:rsidRPr="006271BC">
      <w:rPr>
        <w:rFonts w:cs="NarkisTam Light" w:hint="cs"/>
        <w:spacing w:val="-5"/>
        <w:sz w:val="20"/>
        <w:szCs w:val="18"/>
        <w:rtl/>
      </w:rPr>
      <w:t>20</w:t>
    </w:r>
    <w:r w:rsidRPr="003C7B9B">
      <w:rPr>
        <w:rFonts w:cs="NarkisTam Light"/>
        <w:spacing w:val="-5"/>
        <w:sz w:val="20"/>
        <w:szCs w:val="18"/>
        <w:rtl/>
      </w:rPr>
      <w:t xml:space="preserve"> </w:t>
    </w:r>
    <w:r w:rsidRPr="003C7B9B">
      <w:rPr>
        <w:rFonts w:ascii="a_Haim" w:hAnsi="a_Haim" w:cs="Hayim"/>
        <w:b/>
        <w:bCs/>
        <w:spacing w:val="-5"/>
        <w:sz w:val="16"/>
        <w:szCs w:val="32"/>
      </w:rPr>
      <w:t>HAIM BERENSON</w:t>
    </w:r>
    <w:r w:rsidRPr="003C7B9B">
      <w:rPr>
        <w:rFonts w:cs="Hayim"/>
        <w:b/>
        <w:bCs/>
        <w:spacing w:val="-5"/>
        <w:sz w:val="16"/>
        <w:szCs w:val="32"/>
      </w:rPr>
      <w:t>,</w:t>
    </w:r>
    <w:r w:rsidRPr="003C7B9B">
      <w:rPr>
        <w:rFonts w:ascii="a_Miriam" w:hAnsi="a_Miriam" w:cs="Hayim"/>
        <w:b/>
        <w:bCs/>
        <w:spacing w:val="-5"/>
        <w:sz w:val="20"/>
        <w:szCs w:val="32"/>
      </w:rPr>
      <w:t xml:space="preserve"> </w:t>
    </w:r>
    <w:r w:rsidRPr="003C7B9B">
      <w:rPr>
        <w:rFonts w:ascii="a_Miriam" w:hAnsi="a_Miriam" w:cs="Hayim"/>
        <w:spacing w:val="-5"/>
        <w:sz w:val="10"/>
        <w:szCs w:val="32"/>
      </w:rPr>
      <w:t>LAW OFFICES, 60 HAVAZELELT HASHARON, HERTZELIA</w:t>
    </w:r>
  </w:p>
  <w:p w:rsidR="00F46847" w:rsidRPr="00182454" w:rsidRDefault="00F46847" w:rsidP="002A4831">
    <w:pPr>
      <w:pStyle w:val="a8"/>
      <w:tabs>
        <w:tab w:val="clear" w:pos="4153"/>
        <w:tab w:val="clear" w:pos="8306"/>
        <w:tab w:val="left" w:pos="6284"/>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847" w:rsidRPr="00465292" w:rsidRDefault="00F46847" w:rsidP="002A4831">
    <w:pPr>
      <w:suppressLineNumbers/>
      <w:pBdr>
        <w:top w:val="single" w:sz="4" w:space="1" w:color="auto"/>
        <w:left w:val="single" w:sz="4" w:space="4" w:color="auto"/>
        <w:bottom w:val="single" w:sz="4" w:space="0" w:color="auto"/>
        <w:right w:val="single" w:sz="4" w:space="1" w:color="auto"/>
      </w:pBdr>
      <w:ind w:firstLine="360"/>
      <w:jc w:val="center"/>
      <w:rPr>
        <w:b/>
        <w:bCs/>
        <w:szCs w:val="20"/>
      </w:rPr>
    </w:pPr>
    <w:r w:rsidRPr="00465292">
      <w:rPr>
        <w:b/>
        <w:bCs/>
        <w:szCs w:val="20"/>
        <w:rtl/>
      </w:rPr>
      <w:t>האמור בחוברת זו אינו מהווה חוות דעת משפטית</w:t>
    </w:r>
  </w:p>
  <w:p w:rsidR="00F46847" w:rsidRPr="003C7B9B" w:rsidRDefault="00F46847" w:rsidP="002A4831">
    <w:pPr>
      <w:pStyle w:val="14"/>
      <w:suppressLineNumbers/>
      <w:jc w:val="center"/>
      <w:rPr>
        <w:sz w:val="22"/>
        <w:szCs w:val="18"/>
      </w:rPr>
    </w:pPr>
    <w:r w:rsidRPr="003C7B9B">
      <w:rPr>
        <w:rFonts w:cs="Hayim"/>
        <w:b/>
        <w:bCs/>
        <w:spacing w:val="-5"/>
        <w:sz w:val="20"/>
        <w:szCs w:val="26"/>
        <w:rtl/>
      </w:rPr>
      <w:t>חיים ברנזון,</w:t>
    </w:r>
    <w:r w:rsidRPr="003C7B9B">
      <w:rPr>
        <w:rFonts w:cs="NarkisTam Light"/>
        <w:spacing w:val="-5"/>
        <w:sz w:val="20"/>
        <w:szCs w:val="18"/>
        <w:rtl/>
      </w:rPr>
      <w:t xml:space="preserve"> </w:t>
    </w:r>
    <w:r w:rsidRPr="003C7B9B">
      <w:rPr>
        <w:rFonts w:cs="NarkisTam Light"/>
        <w:spacing w:val="-5"/>
        <w:sz w:val="20"/>
        <w:szCs w:val="16"/>
        <w:rtl/>
      </w:rPr>
      <w:t>משרד עורכי דין, חבצלת השרון 60, הרצליה פיתוח</w:t>
    </w:r>
    <w:r w:rsidRPr="003C7B9B">
      <w:rPr>
        <w:rFonts w:cs="NarkisTam Light"/>
        <w:spacing w:val="-5"/>
        <w:sz w:val="20"/>
        <w:szCs w:val="18"/>
        <w:rtl/>
      </w:rPr>
      <w:t xml:space="preserve"> 4674</w:t>
    </w:r>
    <w:r w:rsidRPr="006271BC">
      <w:rPr>
        <w:rFonts w:cs="NarkisTam Light"/>
        <w:spacing w:val="-5"/>
        <w:sz w:val="18"/>
        <w:szCs w:val="18"/>
        <w:rtl/>
      </w:rPr>
      <w:t>7</w:t>
    </w:r>
    <w:r w:rsidRPr="006271BC">
      <w:rPr>
        <w:rFonts w:cs="NarkisTam Light" w:hint="cs"/>
        <w:spacing w:val="-5"/>
        <w:sz w:val="20"/>
        <w:szCs w:val="18"/>
        <w:rtl/>
      </w:rPr>
      <w:t>20</w:t>
    </w:r>
    <w:r w:rsidRPr="003C7B9B">
      <w:rPr>
        <w:rFonts w:cs="NarkisTam Light"/>
        <w:spacing w:val="-5"/>
        <w:sz w:val="20"/>
        <w:szCs w:val="18"/>
        <w:rtl/>
      </w:rPr>
      <w:t xml:space="preserve"> </w:t>
    </w:r>
    <w:r w:rsidRPr="003C7B9B">
      <w:rPr>
        <w:rFonts w:ascii="a_Haim" w:hAnsi="a_Haim" w:cs="Hayim"/>
        <w:b/>
        <w:bCs/>
        <w:spacing w:val="-5"/>
        <w:sz w:val="16"/>
        <w:szCs w:val="32"/>
      </w:rPr>
      <w:t>HAIM BERENSON</w:t>
    </w:r>
    <w:r w:rsidRPr="003C7B9B">
      <w:rPr>
        <w:rFonts w:cs="Hayim"/>
        <w:b/>
        <w:bCs/>
        <w:spacing w:val="-5"/>
        <w:sz w:val="16"/>
        <w:szCs w:val="32"/>
      </w:rPr>
      <w:t>,</w:t>
    </w:r>
    <w:r w:rsidRPr="003C7B9B">
      <w:rPr>
        <w:rFonts w:ascii="a_Miriam" w:hAnsi="a_Miriam" w:cs="Hayim"/>
        <w:b/>
        <w:bCs/>
        <w:spacing w:val="-5"/>
        <w:sz w:val="20"/>
        <w:szCs w:val="32"/>
      </w:rPr>
      <w:t xml:space="preserve"> </w:t>
    </w:r>
    <w:r w:rsidRPr="003C7B9B">
      <w:rPr>
        <w:rFonts w:ascii="a_Miriam" w:hAnsi="a_Miriam" w:cs="Hayim"/>
        <w:spacing w:val="-5"/>
        <w:sz w:val="10"/>
        <w:szCs w:val="32"/>
      </w:rPr>
      <w:t>LAW OFFICES, 60 HAVAZELELT HASHARON, HERTZELIA</w:t>
    </w:r>
  </w:p>
  <w:p w:rsidR="00F46847" w:rsidRPr="00182454" w:rsidRDefault="00F46847" w:rsidP="002A4831">
    <w:pPr>
      <w:pStyle w:val="a8"/>
      <w:tabs>
        <w:tab w:val="clear" w:pos="4153"/>
        <w:tab w:val="clear" w:pos="8306"/>
        <w:tab w:val="left" w:pos="6284"/>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847" w:rsidRPr="005C1F46" w:rsidRDefault="00F46847" w:rsidP="005C1F4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847" w:rsidRDefault="00F46847">
      <w:r>
        <w:separator/>
      </w:r>
    </w:p>
  </w:footnote>
  <w:footnote w:type="continuationSeparator" w:id="0">
    <w:p w:rsidR="00F46847" w:rsidRDefault="00F468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847" w:rsidRDefault="00F46847" w:rsidP="002C2434">
    <w:pPr>
      <w:pStyle w:val="a4"/>
      <w:jc w:val="center"/>
    </w:pPr>
    <w:r>
      <w:rPr>
        <w:rStyle w:val="a6"/>
      </w:rPr>
      <w:fldChar w:fldCharType="begin"/>
    </w:r>
    <w:r>
      <w:rPr>
        <w:rStyle w:val="a6"/>
      </w:rPr>
      <w:instrText xml:space="preserve"> PAGE </w:instrText>
    </w:r>
    <w:r>
      <w:rPr>
        <w:rStyle w:val="a6"/>
      </w:rPr>
      <w:fldChar w:fldCharType="separate"/>
    </w:r>
    <w:r>
      <w:rPr>
        <w:rStyle w:val="a6"/>
        <w:noProof/>
        <w:rtl/>
      </w:rPr>
      <w:t>2</w:t>
    </w:r>
    <w:r>
      <w:rPr>
        <w:rStyle w:val="a6"/>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847" w:rsidRDefault="00F46847" w:rsidP="002C2434">
    <w:pPr>
      <w:pStyle w:val="a4"/>
      <w:jc w:val="center"/>
      <w:rPr>
        <w:rtl/>
      </w:rPr>
    </w:pPr>
    <w:r>
      <w:rPr>
        <w:rStyle w:val="a6"/>
      </w:rPr>
      <w:fldChar w:fldCharType="begin"/>
    </w:r>
    <w:r>
      <w:rPr>
        <w:rStyle w:val="a6"/>
      </w:rPr>
      <w:instrText xml:space="preserve"> PAGE </w:instrText>
    </w:r>
    <w:r>
      <w:rPr>
        <w:rStyle w:val="a6"/>
      </w:rPr>
      <w:fldChar w:fldCharType="separate"/>
    </w:r>
    <w:r w:rsidR="006D1F2B">
      <w:rPr>
        <w:rStyle w:val="a6"/>
        <w:noProof/>
        <w:rtl/>
      </w:rPr>
      <w:t>63</w:t>
    </w:r>
    <w:r>
      <w:rPr>
        <w:rStyle w:val="a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0268_"/>
      </v:shape>
    </w:pict>
  </w:numPicBullet>
  <w:abstractNum w:abstractNumId="0">
    <w:nsid w:val="02B17EEA"/>
    <w:multiLevelType w:val="hybridMultilevel"/>
    <w:tmpl w:val="D41A7D70"/>
    <w:lvl w:ilvl="0" w:tplc="14E626E0">
      <w:start w:val="1"/>
      <w:numFmt w:val="hebrew1"/>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
    <w:nsid w:val="07E1041B"/>
    <w:multiLevelType w:val="hybridMultilevel"/>
    <w:tmpl w:val="2988BD4E"/>
    <w:lvl w:ilvl="0" w:tplc="FF3EA9B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358"/>
        </w:tabs>
        <w:ind w:left="1358" w:hanging="360"/>
      </w:pPr>
    </w:lvl>
    <w:lvl w:ilvl="2" w:tplc="0409001B" w:tentative="1">
      <w:start w:val="1"/>
      <w:numFmt w:val="lowerRoman"/>
      <w:lvlText w:val="%3."/>
      <w:lvlJc w:val="right"/>
      <w:pPr>
        <w:tabs>
          <w:tab w:val="num" w:pos="2078"/>
        </w:tabs>
        <w:ind w:left="2078" w:hanging="180"/>
      </w:pPr>
    </w:lvl>
    <w:lvl w:ilvl="3" w:tplc="0409000F" w:tentative="1">
      <w:start w:val="1"/>
      <w:numFmt w:val="decimal"/>
      <w:lvlText w:val="%4."/>
      <w:lvlJc w:val="left"/>
      <w:pPr>
        <w:tabs>
          <w:tab w:val="num" w:pos="2798"/>
        </w:tabs>
        <w:ind w:left="2798" w:hanging="360"/>
      </w:pPr>
    </w:lvl>
    <w:lvl w:ilvl="4" w:tplc="04090019" w:tentative="1">
      <w:start w:val="1"/>
      <w:numFmt w:val="lowerLetter"/>
      <w:lvlText w:val="%5."/>
      <w:lvlJc w:val="left"/>
      <w:pPr>
        <w:tabs>
          <w:tab w:val="num" w:pos="3518"/>
        </w:tabs>
        <w:ind w:left="3518" w:hanging="360"/>
      </w:pPr>
    </w:lvl>
    <w:lvl w:ilvl="5" w:tplc="0409001B" w:tentative="1">
      <w:start w:val="1"/>
      <w:numFmt w:val="lowerRoman"/>
      <w:lvlText w:val="%6."/>
      <w:lvlJc w:val="right"/>
      <w:pPr>
        <w:tabs>
          <w:tab w:val="num" w:pos="4238"/>
        </w:tabs>
        <w:ind w:left="4238" w:hanging="180"/>
      </w:pPr>
    </w:lvl>
    <w:lvl w:ilvl="6" w:tplc="0409000F" w:tentative="1">
      <w:start w:val="1"/>
      <w:numFmt w:val="decimal"/>
      <w:lvlText w:val="%7."/>
      <w:lvlJc w:val="left"/>
      <w:pPr>
        <w:tabs>
          <w:tab w:val="num" w:pos="4958"/>
        </w:tabs>
        <w:ind w:left="4958" w:hanging="360"/>
      </w:pPr>
    </w:lvl>
    <w:lvl w:ilvl="7" w:tplc="04090019" w:tentative="1">
      <w:start w:val="1"/>
      <w:numFmt w:val="lowerLetter"/>
      <w:lvlText w:val="%8."/>
      <w:lvlJc w:val="left"/>
      <w:pPr>
        <w:tabs>
          <w:tab w:val="num" w:pos="5678"/>
        </w:tabs>
        <w:ind w:left="5678" w:hanging="360"/>
      </w:pPr>
    </w:lvl>
    <w:lvl w:ilvl="8" w:tplc="0409001B" w:tentative="1">
      <w:start w:val="1"/>
      <w:numFmt w:val="lowerRoman"/>
      <w:lvlText w:val="%9."/>
      <w:lvlJc w:val="right"/>
      <w:pPr>
        <w:tabs>
          <w:tab w:val="num" w:pos="6398"/>
        </w:tabs>
        <w:ind w:left="6398" w:hanging="180"/>
      </w:pPr>
    </w:lvl>
  </w:abstractNum>
  <w:abstractNum w:abstractNumId="2">
    <w:nsid w:val="08747582"/>
    <w:multiLevelType w:val="hybridMultilevel"/>
    <w:tmpl w:val="4EE28572"/>
    <w:lvl w:ilvl="0" w:tplc="E556CB24">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358"/>
        </w:tabs>
        <w:ind w:left="1358" w:hanging="360"/>
      </w:pPr>
    </w:lvl>
    <w:lvl w:ilvl="2" w:tplc="0409001B" w:tentative="1">
      <w:start w:val="1"/>
      <w:numFmt w:val="lowerRoman"/>
      <w:lvlText w:val="%3."/>
      <w:lvlJc w:val="right"/>
      <w:pPr>
        <w:tabs>
          <w:tab w:val="num" w:pos="2078"/>
        </w:tabs>
        <w:ind w:left="2078" w:hanging="180"/>
      </w:pPr>
    </w:lvl>
    <w:lvl w:ilvl="3" w:tplc="0409000F" w:tentative="1">
      <w:start w:val="1"/>
      <w:numFmt w:val="decimal"/>
      <w:lvlText w:val="%4."/>
      <w:lvlJc w:val="left"/>
      <w:pPr>
        <w:tabs>
          <w:tab w:val="num" w:pos="2798"/>
        </w:tabs>
        <w:ind w:left="2798" w:hanging="360"/>
      </w:pPr>
    </w:lvl>
    <w:lvl w:ilvl="4" w:tplc="04090019" w:tentative="1">
      <w:start w:val="1"/>
      <w:numFmt w:val="lowerLetter"/>
      <w:lvlText w:val="%5."/>
      <w:lvlJc w:val="left"/>
      <w:pPr>
        <w:tabs>
          <w:tab w:val="num" w:pos="3518"/>
        </w:tabs>
        <w:ind w:left="3518" w:hanging="360"/>
      </w:pPr>
    </w:lvl>
    <w:lvl w:ilvl="5" w:tplc="0409001B" w:tentative="1">
      <w:start w:val="1"/>
      <w:numFmt w:val="lowerRoman"/>
      <w:lvlText w:val="%6."/>
      <w:lvlJc w:val="right"/>
      <w:pPr>
        <w:tabs>
          <w:tab w:val="num" w:pos="4238"/>
        </w:tabs>
        <w:ind w:left="4238" w:hanging="180"/>
      </w:pPr>
    </w:lvl>
    <w:lvl w:ilvl="6" w:tplc="0409000F" w:tentative="1">
      <w:start w:val="1"/>
      <w:numFmt w:val="decimal"/>
      <w:lvlText w:val="%7."/>
      <w:lvlJc w:val="left"/>
      <w:pPr>
        <w:tabs>
          <w:tab w:val="num" w:pos="4958"/>
        </w:tabs>
        <w:ind w:left="4958" w:hanging="360"/>
      </w:pPr>
    </w:lvl>
    <w:lvl w:ilvl="7" w:tplc="04090019" w:tentative="1">
      <w:start w:val="1"/>
      <w:numFmt w:val="lowerLetter"/>
      <w:lvlText w:val="%8."/>
      <w:lvlJc w:val="left"/>
      <w:pPr>
        <w:tabs>
          <w:tab w:val="num" w:pos="5678"/>
        </w:tabs>
        <w:ind w:left="5678" w:hanging="360"/>
      </w:pPr>
    </w:lvl>
    <w:lvl w:ilvl="8" w:tplc="0409001B" w:tentative="1">
      <w:start w:val="1"/>
      <w:numFmt w:val="lowerRoman"/>
      <w:lvlText w:val="%9."/>
      <w:lvlJc w:val="right"/>
      <w:pPr>
        <w:tabs>
          <w:tab w:val="num" w:pos="6398"/>
        </w:tabs>
        <w:ind w:left="6398" w:hanging="180"/>
      </w:pPr>
    </w:lvl>
  </w:abstractNum>
  <w:abstractNum w:abstractNumId="3">
    <w:nsid w:val="09437495"/>
    <w:multiLevelType w:val="hybridMultilevel"/>
    <w:tmpl w:val="D966B2E2"/>
    <w:lvl w:ilvl="0" w:tplc="8D4AC0D2">
      <w:start w:val="1"/>
      <w:numFmt w:val="decimal"/>
      <w:lvlText w:val="%1."/>
      <w:lvlJc w:val="left"/>
      <w:pPr>
        <w:tabs>
          <w:tab w:val="num" w:pos="250"/>
        </w:tabs>
        <w:ind w:left="250" w:hanging="360"/>
      </w:pPr>
      <w:rPr>
        <w:rFonts w:hint="default"/>
      </w:rPr>
    </w:lvl>
    <w:lvl w:ilvl="1" w:tplc="04090019">
      <w:start w:val="1"/>
      <w:numFmt w:val="lowerLetter"/>
      <w:lvlText w:val="%2."/>
      <w:lvlJc w:val="left"/>
      <w:pPr>
        <w:tabs>
          <w:tab w:val="num" w:pos="970"/>
        </w:tabs>
        <w:ind w:left="970" w:hanging="360"/>
      </w:pPr>
    </w:lvl>
    <w:lvl w:ilvl="2" w:tplc="0409001B" w:tentative="1">
      <w:start w:val="1"/>
      <w:numFmt w:val="lowerRoman"/>
      <w:lvlText w:val="%3."/>
      <w:lvlJc w:val="right"/>
      <w:pPr>
        <w:tabs>
          <w:tab w:val="num" w:pos="1690"/>
        </w:tabs>
        <w:ind w:left="1690" w:hanging="180"/>
      </w:pPr>
    </w:lvl>
    <w:lvl w:ilvl="3" w:tplc="0409000F" w:tentative="1">
      <w:start w:val="1"/>
      <w:numFmt w:val="decimal"/>
      <w:lvlText w:val="%4."/>
      <w:lvlJc w:val="left"/>
      <w:pPr>
        <w:tabs>
          <w:tab w:val="num" w:pos="2410"/>
        </w:tabs>
        <w:ind w:left="2410" w:hanging="360"/>
      </w:pPr>
    </w:lvl>
    <w:lvl w:ilvl="4" w:tplc="04090019" w:tentative="1">
      <w:start w:val="1"/>
      <w:numFmt w:val="lowerLetter"/>
      <w:lvlText w:val="%5."/>
      <w:lvlJc w:val="left"/>
      <w:pPr>
        <w:tabs>
          <w:tab w:val="num" w:pos="3130"/>
        </w:tabs>
        <w:ind w:left="3130" w:hanging="360"/>
      </w:pPr>
    </w:lvl>
    <w:lvl w:ilvl="5" w:tplc="0409001B" w:tentative="1">
      <w:start w:val="1"/>
      <w:numFmt w:val="lowerRoman"/>
      <w:lvlText w:val="%6."/>
      <w:lvlJc w:val="right"/>
      <w:pPr>
        <w:tabs>
          <w:tab w:val="num" w:pos="3850"/>
        </w:tabs>
        <w:ind w:left="3850" w:hanging="180"/>
      </w:pPr>
    </w:lvl>
    <w:lvl w:ilvl="6" w:tplc="0409000F" w:tentative="1">
      <w:start w:val="1"/>
      <w:numFmt w:val="decimal"/>
      <w:lvlText w:val="%7."/>
      <w:lvlJc w:val="left"/>
      <w:pPr>
        <w:tabs>
          <w:tab w:val="num" w:pos="4570"/>
        </w:tabs>
        <w:ind w:left="4570" w:hanging="360"/>
      </w:pPr>
    </w:lvl>
    <w:lvl w:ilvl="7" w:tplc="04090019" w:tentative="1">
      <w:start w:val="1"/>
      <w:numFmt w:val="lowerLetter"/>
      <w:lvlText w:val="%8."/>
      <w:lvlJc w:val="left"/>
      <w:pPr>
        <w:tabs>
          <w:tab w:val="num" w:pos="5290"/>
        </w:tabs>
        <w:ind w:left="5290" w:hanging="360"/>
      </w:pPr>
    </w:lvl>
    <w:lvl w:ilvl="8" w:tplc="0409001B" w:tentative="1">
      <w:start w:val="1"/>
      <w:numFmt w:val="lowerRoman"/>
      <w:lvlText w:val="%9."/>
      <w:lvlJc w:val="right"/>
      <w:pPr>
        <w:tabs>
          <w:tab w:val="num" w:pos="6010"/>
        </w:tabs>
        <w:ind w:left="6010" w:hanging="180"/>
      </w:pPr>
    </w:lvl>
  </w:abstractNum>
  <w:abstractNum w:abstractNumId="4">
    <w:nsid w:val="0B6C66F0"/>
    <w:multiLevelType w:val="hybridMultilevel"/>
    <w:tmpl w:val="7E7E2D3E"/>
    <w:lvl w:ilvl="0" w:tplc="679A1628">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5">
    <w:nsid w:val="0B6E2EA3"/>
    <w:multiLevelType w:val="hybridMultilevel"/>
    <w:tmpl w:val="735C22CA"/>
    <w:lvl w:ilvl="0" w:tplc="9A624E34">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DBC0D69"/>
    <w:multiLevelType w:val="hybridMultilevel"/>
    <w:tmpl w:val="05B0AFBC"/>
    <w:lvl w:ilvl="0" w:tplc="FD44B292">
      <w:start w:val="1"/>
      <w:numFmt w:val="decimal"/>
      <w:lvlText w:val="%1."/>
      <w:lvlJc w:val="left"/>
      <w:pPr>
        <w:tabs>
          <w:tab w:val="num" w:pos="360"/>
        </w:tabs>
        <w:ind w:left="360" w:hanging="360"/>
      </w:pPr>
      <w:rPr>
        <w:rFonts w:cs="David" w:hint="cs"/>
        <w:b w:val="0"/>
        <w:bCs/>
        <w:iCs w:val="0"/>
        <w:sz w:val="26"/>
        <w:szCs w:val="26"/>
      </w:rPr>
    </w:lvl>
    <w:lvl w:ilvl="1" w:tplc="42C4D15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F7B0C87"/>
    <w:multiLevelType w:val="hybridMultilevel"/>
    <w:tmpl w:val="5D9ECF56"/>
    <w:lvl w:ilvl="0" w:tplc="98D21A82">
      <w:start w:val="1"/>
      <w:numFmt w:val="decimal"/>
      <w:lvlText w:val="%1."/>
      <w:lvlJc w:val="left"/>
      <w:pPr>
        <w:tabs>
          <w:tab w:val="num" w:pos="720"/>
        </w:tabs>
        <w:ind w:left="720" w:hanging="360"/>
      </w:pPr>
      <w:rPr>
        <w:rFonts w:cs="David" w:hint="default"/>
        <w:b/>
        <w:bCs/>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551042E"/>
    <w:multiLevelType w:val="hybridMultilevel"/>
    <w:tmpl w:val="2988BD4E"/>
    <w:lvl w:ilvl="0" w:tplc="FF3EA9B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358"/>
        </w:tabs>
        <w:ind w:left="1358" w:hanging="360"/>
      </w:pPr>
    </w:lvl>
    <w:lvl w:ilvl="2" w:tplc="0409001B" w:tentative="1">
      <w:start w:val="1"/>
      <w:numFmt w:val="lowerRoman"/>
      <w:lvlText w:val="%3."/>
      <w:lvlJc w:val="right"/>
      <w:pPr>
        <w:tabs>
          <w:tab w:val="num" w:pos="2078"/>
        </w:tabs>
        <w:ind w:left="2078" w:hanging="180"/>
      </w:pPr>
    </w:lvl>
    <w:lvl w:ilvl="3" w:tplc="0409000F" w:tentative="1">
      <w:start w:val="1"/>
      <w:numFmt w:val="decimal"/>
      <w:lvlText w:val="%4."/>
      <w:lvlJc w:val="left"/>
      <w:pPr>
        <w:tabs>
          <w:tab w:val="num" w:pos="2798"/>
        </w:tabs>
        <w:ind w:left="2798" w:hanging="360"/>
      </w:pPr>
    </w:lvl>
    <w:lvl w:ilvl="4" w:tplc="04090019" w:tentative="1">
      <w:start w:val="1"/>
      <w:numFmt w:val="lowerLetter"/>
      <w:lvlText w:val="%5."/>
      <w:lvlJc w:val="left"/>
      <w:pPr>
        <w:tabs>
          <w:tab w:val="num" w:pos="3518"/>
        </w:tabs>
        <w:ind w:left="3518" w:hanging="360"/>
      </w:pPr>
    </w:lvl>
    <w:lvl w:ilvl="5" w:tplc="0409001B" w:tentative="1">
      <w:start w:val="1"/>
      <w:numFmt w:val="lowerRoman"/>
      <w:lvlText w:val="%6."/>
      <w:lvlJc w:val="right"/>
      <w:pPr>
        <w:tabs>
          <w:tab w:val="num" w:pos="4238"/>
        </w:tabs>
        <w:ind w:left="4238" w:hanging="180"/>
      </w:pPr>
    </w:lvl>
    <w:lvl w:ilvl="6" w:tplc="0409000F" w:tentative="1">
      <w:start w:val="1"/>
      <w:numFmt w:val="decimal"/>
      <w:lvlText w:val="%7."/>
      <w:lvlJc w:val="left"/>
      <w:pPr>
        <w:tabs>
          <w:tab w:val="num" w:pos="4958"/>
        </w:tabs>
        <w:ind w:left="4958" w:hanging="360"/>
      </w:pPr>
    </w:lvl>
    <w:lvl w:ilvl="7" w:tplc="04090019" w:tentative="1">
      <w:start w:val="1"/>
      <w:numFmt w:val="lowerLetter"/>
      <w:lvlText w:val="%8."/>
      <w:lvlJc w:val="left"/>
      <w:pPr>
        <w:tabs>
          <w:tab w:val="num" w:pos="5678"/>
        </w:tabs>
        <w:ind w:left="5678" w:hanging="360"/>
      </w:pPr>
    </w:lvl>
    <w:lvl w:ilvl="8" w:tplc="0409001B" w:tentative="1">
      <w:start w:val="1"/>
      <w:numFmt w:val="lowerRoman"/>
      <w:lvlText w:val="%9."/>
      <w:lvlJc w:val="right"/>
      <w:pPr>
        <w:tabs>
          <w:tab w:val="num" w:pos="6398"/>
        </w:tabs>
        <w:ind w:left="6398" w:hanging="180"/>
      </w:pPr>
    </w:lvl>
  </w:abstractNum>
  <w:abstractNum w:abstractNumId="9">
    <w:nsid w:val="18B46CBF"/>
    <w:multiLevelType w:val="hybridMultilevel"/>
    <w:tmpl w:val="D93C5054"/>
    <w:lvl w:ilvl="0" w:tplc="FD44B292">
      <w:start w:val="1"/>
      <w:numFmt w:val="decimal"/>
      <w:lvlText w:val="%1."/>
      <w:lvlJc w:val="left"/>
      <w:pPr>
        <w:tabs>
          <w:tab w:val="num" w:pos="360"/>
        </w:tabs>
        <w:ind w:left="360" w:hanging="360"/>
      </w:pPr>
      <w:rPr>
        <w:rFonts w:cs="David" w:hint="cs"/>
        <w:b w:val="0"/>
        <w:bCs/>
        <w:iCs w:val="0"/>
        <w:sz w:val="26"/>
        <w:szCs w:val="26"/>
      </w:rPr>
    </w:lvl>
    <w:lvl w:ilvl="1" w:tplc="3D9AC68A">
      <w:start w:val="1"/>
      <w:numFmt w:val="decimal"/>
      <w:lvlText w:val="(%2)"/>
      <w:lvlJc w:val="left"/>
      <w:pPr>
        <w:tabs>
          <w:tab w:val="num" w:pos="1440"/>
        </w:tabs>
        <w:ind w:left="1440" w:hanging="360"/>
      </w:pPr>
      <w:rPr>
        <w:rFonts w:hint="default"/>
        <w:sz w:val="24"/>
      </w:rPr>
    </w:lvl>
    <w:lvl w:ilvl="2" w:tplc="0010E220">
      <w:start w:val="1"/>
      <w:numFmt w:val="hebrew1"/>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A3F0886"/>
    <w:multiLevelType w:val="hybridMultilevel"/>
    <w:tmpl w:val="FAF41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6D4B0E"/>
    <w:multiLevelType w:val="hybridMultilevel"/>
    <w:tmpl w:val="7C2AFC58"/>
    <w:lvl w:ilvl="0" w:tplc="FD44B292">
      <w:start w:val="1"/>
      <w:numFmt w:val="decimal"/>
      <w:lvlText w:val="%1."/>
      <w:lvlJc w:val="left"/>
      <w:pPr>
        <w:tabs>
          <w:tab w:val="num" w:pos="360"/>
        </w:tabs>
        <w:ind w:left="360" w:hanging="360"/>
      </w:pPr>
      <w:rPr>
        <w:rFonts w:cs="David" w:hint="cs"/>
        <w:b w:val="0"/>
        <w:bCs/>
        <w:iCs w:val="0"/>
        <w:sz w:val="26"/>
        <w:szCs w:val="26"/>
      </w:rPr>
    </w:lvl>
    <w:lvl w:ilvl="1" w:tplc="753C187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C0061FF"/>
    <w:multiLevelType w:val="hybridMultilevel"/>
    <w:tmpl w:val="7E46E964"/>
    <w:lvl w:ilvl="0" w:tplc="FD44B292">
      <w:start w:val="1"/>
      <w:numFmt w:val="decimal"/>
      <w:lvlText w:val="%1."/>
      <w:lvlJc w:val="left"/>
      <w:pPr>
        <w:tabs>
          <w:tab w:val="num" w:pos="360"/>
        </w:tabs>
        <w:ind w:left="360" w:hanging="360"/>
      </w:pPr>
      <w:rPr>
        <w:rFonts w:cs="David" w:hint="cs"/>
        <w:b w:val="0"/>
        <w:bCs/>
        <w:iCs w:val="0"/>
        <w:sz w:val="26"/>
        <w:szCs w:val="26"/>
      </w:rPr>
    </w:lvl>
    <w:lvl w:ilvl="1" w:tplc="BEE85B38">
      <w:start w:val="1"/>
      <w:numFmt w:val="decimal"/>
      <w:lvlText w:val="(%2)"/>
      <w:lvlJc w:val="left"/>
      <w:pPr>
        <w:tabs>
          <w:tab w:val="num" w:pos="1500"/>
        </w:tabs>
        <w:ind w:left="1500" w:hanging="420"/>
      </w:pPr>
      <w:rPr>
        <w:rFonts w:hint="default"/>
        <w:b w:val="0"/>
        <w:bCs/>
        <w:iCs w:val="0"/>
        <w:szCs w:val="24"/>
        <w:u w:val="none"/>
      </w:rPr>
    </w:lvl>
    <w:lvl w:ilvl="2" w:tplc="A14C5806">
      <w:start w:val="1"/>
      <w:numFmt w:val="bullet"/>
      <w:lvlText w:val=""/>
      <w:lvlPicBulletId w:val="0"/>
      <w:lvlJc w:val="left"/>
      <w:pPr>
        <w:tabs>
          <w:tab w:val="num" w:pos="2340"/>
        </w:tabs>
        <w:ind w:left="2340" w:hanging="360"/>
      </w:pPr>
      <w:rPr>
        <w:rFonts w:ascii="Symbol" w:hAnsi="Symbol" w:hint="default"/>
        <w:b w:val="0"/>
        <w:bCs/>
        <w:iCs w:val="0"/>
        <w:color w:val="auto"/>
        <w:szCs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DBA300E"/>
    <w:multiLevelType w:val="hybridMultilevel"/>
    <w:tmpl w:val="2988BD4E"/>
    <w:lvl w:ilvl="0" w:tplc="FF3EA9B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358"/>
        </w:tabs>
        <w:ind w:left="1358" w:hanging="360"/>
      </w:pPr>
    </w:lvl>
    <w:lvl w:ilvl="2" w:tplc="0409001B" w:tentative="1">
      <w:start w:val="1"/>
      <w:numFmt w:val="lowerRoman"/>
      <w:lvlText w:val="%3."/>
      <w:lvlJc w:val="right"/>
      <w:pPr>
        <w:tabs>
          <w:tab w:val="num" w:pos="2078"/>
        </w:tabs>
        <w:ind w:left="2078" w:hanging="180"/>
      </w:pPr>
    </w:lvl>
    <w:lvl w:ilvl="3" w:tplc="0409000F" w:tentative="1">
      <w:start w:val="1"/>
      <w:numFmt w:val="decimal"/>
      <w:lvlText w:val="%4."/>
      <w:lvlJc w:val="left"/>
      <w:pPr>
        <w:tabs>
          <w:tab w:val="num" w:pos="2798"/>
        </w:tabs>
        <w:ind w:left="2798" w:hanging="360"/>
      </w:pPr>
    </w:lvl>
    <w:lvl w:ilvl="4" w:tplc="04090019" w:tentative="1">
      <w:start w:val="1"/>
      <w:numFmt w:val="lowerLetter"/>
      <w:lvlText w:val="%5."/>
      <w:lvlJc w:val="left"/>
      <w:pPr>
        <w:tabs>
          <w:tab w:val="num" w:pos="3518"/>
        </w:tabs>
        <w:ind w:left="3518" w:hanging="360"/>
      </w:pPr>
    </w:lvl>
    <w:lvl w:ilvl="5" w:tplc="0409001B" w:tentative="1">
      <w:start w:val="1"/>
      <w:numFmt w:val="lowerRoman"/>
      <w:lvlText w:val="%6."/>
      <w:lvlJc w:val="right"/>
      <w:pPr>
        <w:tabs>
          <w:tab w:val="num" w:pos="4238"/>
        </w:tabs>
        <w:ind w:left="4238" w:hanging="180"/>
      </w:pPr>
    </w:lvl>
    <w:lvl w:ilvl="6" w:tplc="0409000F" w:tentative="1">
      <w:start w:val="1"/>
      <w:numFmt w:val="decimal"/>
      <w:lvlText w:val="%7."/>
      <w:lvlJc w:val="left"/>
      <w:pPr>
        <w:tabs>
          <w:tab w:val="num" w:pos="4958"/>
        </w:tabs>
        <w:ind w:left="4958" w:hanging="360"/>
      </w:pPr>
    </w:lvl>
    <w:lvl w:ilvl="7" w:tplc="04090019" w:tentative="1">
      <w:start w:val="1"/>
      <w:numFmt w:val="lowerLetter"/>
      <w:lvlText w:val="%8."/>
      <w:lvlJc w:val="left"/>
      <w:pPr>
        <w:tabs>
          <w:tab w:val="num" w:pos="5678"/>
        </w:tabs>
        <w:ind w:left="5678" w:hanging="360"/>
      </w:pPr>
    </w:lvl>
    <w:lvl w:ilvl="8" w:tplc="0409001B" w:tentative="1">
      <w:start w:val="1"/>
      <w:numFmt w:val="lowerRoman"/>
      <w:lvlText w:val="%9."/>
      <w:lvlJc w:val="right"/>
      <w:pPr>
        <w:tabs>
          <w:tab w:val="num" w:pos="6398"/>
        </w:tabs>
        <w:ind w:left="6398" w:hanging="180"/>
      </w:pPr>
    </w:lvl>
  </w:abstractNum>
  <w:abstractNum w:abstractNumId="14">
    <w:nsid w:val="24994294"/>
    <w:multiLevelType w:val="hybridMultilevel"/>
    <w:tmpl w:val="F4225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506F51"/>
    <w:multiLevelType w:val="hybridMultilevel"/>
    <w:tmpl w:val="7C9268A4"/>
    <w:lvl w:ilvl="0" w:tplc="13CCC8EC">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6">
    <w:nsid w:val="27DF40A5"/>
    <w:multiLevelType w:val="hybridMultilevel"/>
    <w:tmpl w:val="1A300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021154"/>
    <w:multiLevelType w:val="hybridMultilevel"/>
    <w:tmpl w:val="E18A0DBA"/>
    <w:lvl w:ilvl="0" w:tplc="DFC4FE74">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810383B"/>
    <w:multiLevelType w:val="hybridMultilevel"/>
    <w:tmpl w:val="F4225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CE2BAB"/>
    <w:multiLevelType w:val="hybridMultilevel"/>
    <w:tmpl w:val="FA180B04"/>
    <w:lvl w:ilvl="0" w:tplc="59184106">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0">
    <w:nsid w:val="2BF057D7"/>
    <w:multiLevelType w:val="hybridMultilevel"/>
    <w:tmpl w:val="E1482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2423A3"/>
    <w:multiLevelType w:val="hybridMultilevel"/>
    <w:tmpl w:val="25E07DF2"/>
    <w:lvl w:ilvl="0" w:tplc="EE04B012">
      <w:start w:val="1"/>
      <w:numFmt w:val="hebrew1"/>
      <w:lvlText w:val="%1."/>
      <w:lvlJc w:val="left"/>
      <w:pPr>
        <w:ind w:left="558" w:hanging="360"/>
      </w:pPr>
      <w:rPr>
        <w:rFonts w:hint="default"/>
      </w:rPr>
    </w:lvl>
    <w:lvl w:ilvl="1" w:tplc="04090019" w:tentative="1">
      <w:start w:val="1"/>
      <w:numFmt w:val="lowerLetter"/>
      <w:lvlText w:val="%2."/>
      <w:lvlJc w:val="left"/>
      <w:pPr>
        <w:ind w:left="1278" w:hanging="360"/>
      </w:pPr>
    </w:lvl>
    <w:lvl w:ilvl="2" w:tplc="0409001B" w:tentative="1">
      <w:start w:val="1"/>
      <w:numFmt w:val="lowerRoman"/>
      <w:lvlText w:val="%3."/>
      <w:lvlJc w:val="right"/>
      <w:pPr>
        <w:ind w:left="1998" w:hanging="180"/>
      </w:pPr>
    </w:lvl>
    <w:lvl w:ilvl="3" w:tplc="0409000F" w:tentative="1">
      <w:start w:val="1"/>
      <w:numFmt w:val="decimal"/>
      <w:lvlText w:val="%4."/>
      <w:lvlJc w:val="left"/>
      <w:pPr>
        <w:ind w:left="2718" w:hanging="360"/>
      </w:pPr>
    </w:lvl>
    <w:lvl w:ilvl="4" w:tplc="04090019" w:tentative="1">
      <w:start w:val="1"/>
      <w:numFmt w:val="lowerLetter"/>
      <w:lvlText w:val="%5."/>
      <w:lvlJc w:val="left"/>
      <w:pPr>
        <w:ind w:left="3438" w:hanging="360"/>
      </w:pPr>
    </w:lvl>
    <w:lvl w:ilvl="5" w:tplc="0409001B" w:tentative="1">
      <w:start w:val="1"/>
      <w:numFmt w:val="lowerRoman"/>
      <w:lvlText w:val="%6."/>
      <w:lvlJc w:val="right"/>
      <w:pPr>
        <w:ind w:left="4158" w:hanging="180"/>
      </w:pPr>
    </w:lvl>
    <w:lvl w:ilvl="6" w:tplc="0409000F" w:tentative="1">
      <w:start w:val="1"/>
      <w:numFmt w:val="decimal"/>
      <w:lvlText w:val="%7."/>
      <w:lvlJc w:val="left"/>
      <w:pPr>
        <w:ind w:left="4878" w:hanging="360"/>
      </w:pPr>
    </w:lvl>
    <w:lvl w:ilvl="7" w:tplc="04090019" w:tentative="1">
      <w:start w:val="1"/>
      <w:numFmt w:val="lowerLetter"/>
      <w:lvlText w:val="%8."/>
      <w:lvlJc w:val="left"/>
      <w:pPr>
        <w:ind w:left="5598" w:hanging="360"/>
      </w:pPr>
    </w:lvl>
    <w:lvl w:ilvl="8" w:tplc="0409001B" w:tentative="1">
      <w:start w:val="1"/>
      <w:numFmt w:val="lowerRoman"/>
      <w:lvlText w:val="%9."/>
      <w:lvlJc w:val="right"/>
      <w:pPr>
        <w:ind w:left="6318" w:hanging="180"/>
      </w:pPr>
    </w:lvl>
  </w:abstractNum>
  <w:abstractNum w:abstractNumId="22">
    <w:nsid w:val="30EE50AA"/>
    <w:multiLevelType w:val="hybridMultilevel"/>
    <w:tmpl w:val="BF1AD654"/>
    <w:lvl w:ilvl="0" w:tplc="0E0EA822">
      <w:start w:val="1"/>
      <w:numFmt w:val="decimal"/>
      <w:lvlText w:val="%1."/>
      <w:lvlJc w:val="left"/>
      <w:pPr>
        <w:tabs>
          <w:tab w:val="num" w:pos="880"/>
        </w:tabs>
        <w:ind w:left="880" w:right="360" w:hanging="360"/>
      </w:pPr>
      <w:rPr>
        <w:rFonts w:cs="David" w:hint="default"/>
        <w:b/>
        <w:bCs/>
        <w:color w:val="0000FF"/>
        <w:sz w:val="24"/>
        <w:szCs w:val="24"/>
      </w:rPr>
    </w:lvl>
    <w:lvl w:ilvl="1" w:tplc="04090019" w:tentative="1">
      <w:start w:val="1"/>
      <w:numFmt w:val="lowerLetter"/>
      <w:lvlText w:val="%2."/>
      <w:lvlJc w:val="left"/>
      <w:pPr>
        <w:tabs>
          <w:tab w:val="num" w:pos="1330"/>
        </w:tabs>
        <w:ind w:left="1330" w:hanging="360"/>
      </w:pPr>
    </w:lvl>
    <w:lvl w:ilvl="2" w:tplc="0409001B" w:tentative="1">
      <w:start w:val="1"/>
      <w:numFmt w:val="lowerRoman"/>
      <w:lvlText w:val="%3."/>
      <w:lvlJc w:val="right"/>
      <w:pPr>
        <w:tabs>
          <w:tab w:val="num" w:pos="2050"/>
        </w:tabs>
        <w:ind w:left="2050" w:hanging="180"/>
      </w:pPr>
    </w:lvl>
    <w:lvl w:ilvl="3" w:tplc="0409000F" w:tentative="1">
      <w:start w:val="1"/>
      <w:numFmt w:val="decimal"/>
      <w:lvlText w:val="%4."/>
      <w:lvlJc w:val="left"/>
      <w:pPr>
        <w:tabs>
          <w:tab w:val="num" w:pos="2770"/>
        </w:tabs>
        <w:ind w:left="2770" w:hanging="360"/>
      </w:pPr>
    </w:lvl>
    <w:lvl w:ilvl="4" w:tplc="04090019" w:tentative="1">
      <w:start w:val="1"/>
      <w:numFmt w:val="lowerLetter"/>
      <w:lvlText w:val="%5."/>
      <w:lvlJc w:val="left"/>
      <w:pPr>
        <w:tabs>
          <w:tab w:val="num" w:pos="3490"/>
        </w:tabs>
        <w:ind w:left="3490" w:hanging="360"/>
      </w:pPr>
    </w:lvl>
    <w:lvl w:ilvl="5" w:tplc="0409001B" w:tentative="1">
      <w:start w:val="1"/>
      <w:numFmt w:val="lowerRoman"/>
      <w:lvlText w:val="%6."/>
      <w:lvlJc w:val="right"/>
      <w:pPr>
        <w:tabs>
          <w:tab w:val="num" w:pos="4210"/>
        </w:tabs>
        <w:ind w:left="4210" w:hanging="180"/>
      </w:pPr>
    </w:lvl>
    <w:lvl w:ilvl="6" w:tplc="0409000F" w:tentative="1">
      <w:start w:val="1"/>
      <w:numFmt w:val="decimal"/>
      <w:lvlText w:val="%7."/>
      <w:lvlJc w:val="left"/>
      <w:pPr>
        <w:tabs>
          <w:tab w:val="num" w:pos="4930"/>
        </w:tabs>
        <w:ind w:left="4930" w:hanging="360"/>
      </w:pPr>
    </w:lvl>
    <w:lvl w:ilvl="7" w:tplc="04090019" w:tentative="1">
      <w:start w:val="1"/>
      <w:numFmt w:val="lowerLetter"/>
      <w:lvlText w:val="%8."/>
      <w:lvlJc w:val="left"/>
      <w:pPr>
        <w:tabs>
          <w:tab w:val="num" w:pos="5650"/>
        </w:tabs>
        <w:ind w:left="5650" w:hanging="360"/>
      </w:pPr>
    </w:lvl>
    <w:lvl w:ilvl="8" w:tplc="0409001B" w:tentative="1">
      <w:start w:val="1"/>
      <w:numFmt w:val="lowerRoman"/>
      <w:lvlText w:val="%9."/>
      <w:lvlJc w:val="right"/>
      <w:pPr>
        <w:tabs>
          <w:tab w:val="num" w:pos="6370"/>
        </w:tabs>
        <w:ind w:left="6370" w:hanging="180"/>
      </w:pPr>
    </w:lvl>
  </w:abstractNum>
  <w:abstractNum w:abstractNumId="23">
    <w:nsid w:val="3265133D"/>
    <w:multiLevelType w:val="hybridMultilevel"/>
    <w:tmpl w:val="92322690"/>
    <w:lvl w:ilvl="0" w:tplc="B6126914">
      <w:start w:val="1"/>
      <w:numFmt w:val="decimal"/>
      <w:lvlText w:val="%1."/>
      <w:lvlJc w:val="left"/>
      <w:pPr>
        <w:ind w:left="720" w:hanging="360"/>
      </w:pPr>
      <w:rPr>
        <w:rFonts w:ascii="Arial" w:hAnsi="Arial" w:hint="default"/>
        <w:b w:val="0"/>
        <w:bCs/>
        <w:color w:val="0000FF"/>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2DA146F"/>
    <w:multiLevelType w:val="hybridMultilevel"/>
    <w:tmpl w:val="A98AA18C"/>
    <w:lvl w:ilvl="0" w:tplc="86365D7A">
      <w:start w:val="1"/>
      <w:numFmt w:val="hebrew1"/>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5">
    <w:nsid w:val="339B0F70"/>
    <w:multiLevelType w:val="hybridMultilevel"/>
    <w:tmpl w:val="6136BB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3D10B6C"/>
    <w:multiLevelType w:val="hybridMultilevel"/>
    <w:tmpl w:val="D07CA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4B70183"/>
    <w:multiLevelType w:val="hybridMultilevel"/>
    <w:tmpl w:val="E56AC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58E3F1B"/>
    <w:multiLevelType w:val="hybridMultilevel"/>
    <w:tmpl w:val="B4A844EA"/>
    <w:lvl w:ilvl="0" w:tplc="7C0C72AC">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9">
    <w:nsid w:val="36035501"/>
    <w:multiLevelType w:val="hybridMultilevel"/>
    <w:tmpl w:val="8E5CD7DA"/>
    <w:lvl w:ilvl="0" w:tplc="FD44B292">
      <w:start w:val="1"/>
      <w:numFmt w:val="decimal"/>
      <w:lvlText w:val="%1."/>
      <w:lvlJc w:val="left"/>
      <w:pPr>
        <w:tabs>
          <w:tab w:val="num" w:pos="360"/>
        </w:tabs>
        <w:ind w:left="360" w:hanging="360"/>
      </w:pPr>
      <w:rPr>
        <w:rFonts w:cs="David" w:hint="cs"/>
        <w:b w:val="0"/>
        <w:bCs/>
        <w:iCs w:val="0"/>
        <w:sz w:val="26"/>
        <w:szCs w:val="26"/>
      </w:rPr>
    </w:lvl>
    <w:lvl w:ilvl="1" w:tplc="607C040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7863D5A"/>
    <w:multiLevelType w:val="hybridMultilevel"/>
    <w:tmpl w:val="7C9268A4"/>
    <w:lvl w:ilvl="0" w:tplc="13CCC8EC">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1">
    <w:nsid w:val="3794774B"/>
    <w:multiLevelType w:val="hybridMultilevel"/>
    <w:tmpl w:val="182EF57C"/>
    <w:lvl w:ilvl="0" w:tplc="4A62E8C2">
      <w:start w:val="1"/>
      <w:numFmt w:val="decimal"/>
      <w:lvlText w:val="%1."/>
      <w:lvlJc w:val="left"/>
      <w:pPr>
        <w:tabs>
          <w:tab w:val="num" w:pos="1016"/>
        </w:tabs>
        <w:ind w:left="1016" w:right="360" w:hanging="360"/>
      </w:pPr>
      <w:rPr>
        <w:rFonts w:cs="David" w:hint="default"/>
        <w:b/>
        <w:bCs/>
        <w:sz w:val="24"/>
        <w:szCs w:val="24"/>
      </w:rPr>
    </w:lvl>
    <w:lvl w:ilvl="1" w:tplc="04090019" w:tentative="1">
      <w:start w:val="1"/>
      <w:numFmt w:val="lowerLetter"/>
      <w:lvlText w:val="%2."/>
      <w:lvlJc w:val="left"/>
      <w:pPr>
        <w:tabs>
          <w:tab w:val="num" w:pos="1466"/>
        </w:tabs>
        <w:ind w:left="1466" w:hanging="360"/>
      </w:pPr>
    </w:lvl>
    <w:lvl w:ilvl="2" w:tplc="0409001B" w:tentative="1">
      <w:start w:val="1"/>
      <w:numFmt w:val="lowerRoman"/>
      <w:lvlText w:val="%3."/>
      <w:lvlJc w:val="right"/>
      <w:pPr>
        <w:tabs>
          <w:tab w:val="num" w:pos="2186"/>
        </w:tabs>
        <w:ind w:left="2186" w:hanging="180"/>
      </w:pPr>
    </w:lvl>
    <w:lvl w:ilvl="3" w:tplc="0409000F" w:tentative="1">
      <w:start w:val="1"/>
      <w:numFmt w:val="decimal"/>
      <w:lvlText w:val="%4."/>
      <w:lvlJc w:val="left"/>
      <w:pPr>
        <w:tabs>
          <w:tab w:val="num" w:pos="2906"/>
        </w:tabs>
        <w:ind w:left="2906" w:hanging="360"/>
      </w:pPr>
    </w:lvl>
    <w:lvl w:ilvl="4" w:tplc="04090019" w:tentative="1">
      <w:start w:val="1"/>
      <w:numFmt w:val="lowerLetter"/>
      <w:lvlText w:val="%5."/>
      <w:lvlJc w:val="left"/>
      <w:pPr>
        <w:tabs>
          <w:tab w:val="num" w:pos="3626"/>
        </w:tabs>
        <w:ind w:left="3626" w:hanging="360"/>
      </w:pPr>
    </w:lvl>
    <w:lvl w:ilvl="5" w:tplc="0409001B" w:tentative="1">
      <w:start w:val="1"/>
      <w:numFmt w:val="lowerRoman"/>
      <w:lvlText w:val="%6."/>
      <w:lvlJc w:val="right"/>
      <w:pPr>
        <w:tabs>
          <w:tab w:val="num" w:pos="4346"/>
        </w:tabs>
        <w:ind w:left="4346" w:hanging="180"/>
      </w:pPr>
    </w:lvl>
    <w:lvl w:ilvl="6" w:tplc="0409000F" w:tentative="1">
      <w:start w:val="1"/>
      <w:numFmt w:val="decimal"/>
      <w:lvlText w:val="%7."/>
      <w:lvlJc w:val="left"/>
      <w:pPr>
        <w:tabs>
          <w:tab w:val="num" w:pos="5066"/>
        </w:tabs>
        <w:ind w:left="5066" w:hanging="360"/>
      </w:pPr>
    </w:lvl>
    <w:lvl w:ilvl="7" w:tplc="04090019" w:tentative="1">
      <w:start w:val="1"/>
      <w:numFmt w:val="lowerLetter"/>
      <w:lvlText w:val="%8."/>
      <w:lvlJc w:val="left"/>
      <w:pPr>
        <w:tabs>
          <w:tab w:val="num" w:pos="5786"/>
        </w:tabs>
        <w:ind w:left="5786" w:hanging="360"/>
      </w:pPr>
    </w:lvl>
    <w:lvl w:ilvl="8" w:tplc="0409001B" w:tentative="1">
      <w:start w:val="1"/>
      <w:numFmt w:val="lowerRoman"/>
      <w:lvlText w:val="%9."/>
      <w:lvlJc w:val="right"/>
      <w:pPr>
        <w:tabs>
          <w:tab w:val="num" w:pos="6506"/>
        </w:tabs>
        <w:ind w:left="6506" w:hanging="180"/>
      </w:pPr>
    </w:lvl>
  </w:abstractNum>
  <w:abstractNum w:abstractNumId="32">
    <w:nsid w:val="39D01054"/>
    <w:multiLevelType w:val="hybridMultilevel"/>
    <w:tmpl w:val="2988BD4E"/>
    <w:lvl w:ilvl="0" w:tplc="FF3EA9BC">
      <w:start w:val="1"/>
      <w:numFmt w:val="decimal"/>
      <w:lvlText w:val="%1."/>
      <w:lvlJc w:val="left"/>
      <w:pPr>
        <w:tabs>
          <w:tab w:val="num" w:pos="430"/>
        </w:tabs>
        <w:ind w:left="430" w:hanging="360"/>
      </w:pPr>
      <w:rPr>
        <w:rFonts w:hint="default"/>
      </w:rPr>
    </w:lvl>
    <w:lvl w:ilvl="1" w:tplc="04090019" w:tentative="1">
      <w:start w:val="1"/>
      <w:numFmt w:val="lowerLetter"/>
      <w:lvlText w:val="%2."/>
      <w:lvlJc w:val="left"/>
      <w:pPr>
        <w:tabs>
          <w:tab w:val="num" w:pos="1068"/>
        </w:tabs>
        <w:ind w:left="1068" w:hanging="360"/>
      </w:pPr>
    </w:lvl>
    <w:lvl w:ilvl="2" w:tplc="0409001B" w:tentative="1">
      <w:start w:val="1"/>
      <w:numFmt w:val="lowerRoman"/>
      <w:lvlText w:val="%3."/>
      <w:lvlJc w:val="right"/>
      <w:pPr>
        <w:tabs>
          <w:tab w:val="num" w:pos="1788"/>
        </w:tabs>
        <w:ind w:left="1788" w:hanging="180"/>
      </w:pPr>
    </w:lvl>
    <w:lvl w:ilvl="3" w:tplc="0409000F" w:tentative="1">
      <w:start w:val="1"/>
      <w:numFmt w:val="decimal"/>
      <w:lvlText w:val="%4."/>
      <w:lvlJc w:val="left"/>
      <w:pPr>
        <w:tabs>
          <w:tab w:val="num" w:pos="2508"/>
        </w:tabs>
        <w:ind w:left="2508" w:hanging="360"/>
      </w:pPr>
    </w:lvl>
    <w:lvl w:ilvl="4" w:tplc="04090019" w:tentative="1">
      <w:start w:val="1"/>
      <w:numFmt w:val="lowerLetter"/>
      <w:lvlText w:val="%5."/>
      <w:lvlJc w:val="left"/>
      <w:pPr>
        <w:tabs>
          <w:tab w:val="num" w:pos="3228"/>
        </w:tabs>
        <w:ind w:left="3228" w:hanging="360"/>
      </w:pPr>
    </w:lvl>
    <w:lvl w:ilvl="5" w:tplc="0409001B" w:tentative="1">
      <w:start w:val="1"/>
      <w:numFmt w:val="lowerRoman"/>
      <w:lvlText w:val="%6."/>
      <w:lvlJc w:val="right"/>
      <w:pPr>
        <w:tabs>
          <w:tab w:val="num" w:pos="3948"/>
        </w:tabs>
        <w:ind w:left="3948" w:hanging="180"/>
      </w:pPr>
    </w:lvl>
    <w:lvl w:ilvl="6" w:tplc="0409000F" w:tentative="1">
      <w:start w:val="1"/>
      <w:numFmt w:val="decimal"/>
      <w:lvlText w:val="%7."/>
      <w:lvlJc w:val="left"/>
      <w:pPr>
        <w:tabs>
          <w:tab w:val="num" w:pos="4668"/>
        </w:tabs>
        <w:ind w:left="4668" w:hanging="360"/>
      </w:pPr>
    </w:lvl>
    <w:lvl w:ilvl="7" w:tplc="04090019" w:tentative="1">
      <w:start w:val="1"/>
      <w:numFmt w:val="lowerLetter"/>
      <w:lvlText w:val="%8."/>
      <w:lvlJc w:val="left"/>
      <w:pPr>
        <w:tabs>
          <w:tab w:val="num" w:pos="5388"/>
        </w:tabs>
        <w:ind w:left="5388" w:hanging="360"/>
      </w:pPr>
    </w:lvl>
    <w:lvl w:ilvl="8" w:tplc="0409001B" w:tentative="1">
      <w:start w:val="1"/>
      <w:numFmt w:val="lowerRoman"/>
      <w:lvlText w:val="%9."/>
      <w:lvlJc w:val="right"/>
      <w:pPr>
        <w:tabs>
          <w:tab w:val="num" w:pos="6108"/>
        </w:tabs>
        <w:ind w:left="6108" w:hanging="180"/>
      </w:pPr>
    </w:lvl>
  </w:abstractNum>
  <w:abstractNum w:abstractNumId="33">
    <w:nsid w:val="3AF87207"/>
    <w:multiLevelType w:val="hybridMultilevel"/>
    <w:tmpl w:val="9B8241FE"/>
    <w:lvl w:ilvl="0" w:tplc="244A8094">
      <w:start w:val="1"/>
      <w:numFmt w:val="decimal"/>
      <w:lvlText w:val="%1."/>
      <w:lvlJc w:val="left"/>
      <w:pPr>
        <w:tabs>
          <w:tab w:val="num" w:pos="970"/>
        </w:tabs>
        <w:ind w:left="970" w:hanging="360"/>
      </w:pPr>
      <w:rPr>
        <w:rFonts w:hint="default"/>
        <w:b/>
        <w:bCs/>
        <w:color w:val="0000FF"/>
      </w:rPr>
    </w:lvl>
    <w:lvl w:ilvl="1" w:tplc="04090019" w:tentative="1">
      <w:start w:val="1"/>
      <w:numFmt w:val="lowerLetter"/>
      <w:lvlText w:val="%2."/>
      <w:lvlJc w:val="left"/>
      <w:pPr>
        <w:tabs>
          <w:tab w:val="num" w:pos="1690"/>
        </w:tabs>
        <w:ind w:left="1690" w:hanging="360"/>
      </w:pPr>
    </w:lvl>
    <w:lvl w:ilvl="2" w:tplc="0409001B" w:tentative="1">
      <w:start w:val="1"/>
      <w:numFmt w:val="lowerRoman"/>
      <w:lvlText w:val="%3."/>
      <w:lvlJc w:val="right"/>
      <w:pPr>
        <w:tabs>
          <w:tab w:val="num" w:pos="2410"/>
        </w:tabs>
        <w:ind w:left="2410" w:hanging="180"/>
      </w:pPr>
    </w:lvl>
    <w:lvl w:ilvl="3" w:tplc="0409000F" w:tentative="1">
      <w:start w:val="1"/>
      <w:numFmt w:val="decimal"/>
      <w:lvlText w:val="%4."/>
      <w:lvlJc w:val="left"/>
      <w:pPr>
        <w:tabs>
          <w:tab w:val="num" w:pos="3130"/>
        </w:tabs>
        <w:ind w:left="3130" w:hanging="360"/>
      </w:pPr>
    </w:lvl>
    <w:lvl w:ilvl="4" w:tplc="04090019" w:tentative="1">
      <w:start w:val="1"/>
      <w:numFmt w:val="lowerLetter"/>
      <w:lvlText w:val="%5."/>
      <w:lvlJc w:val="left"/>
      <w:pPr>
        <w:tabs>
          <w:tab w:val="num" w:pos="3850"/>
        </w:tabs>
        <w:ind w:left="3850" w:hanging="360"/>
      </w:pPr>
    </w:lvl>
    <w:lvl w:ilvl="5" w:tplc="0409001B" w:tentative="1">
      <w:start w:val="1"/>
      <w:numFmt w:val="lowerRoman"/>
      <w:lvlText w:val="%6."/>
      <w:lvlJc w:val="right"/>
      <w:pPr>
        <w:tabs>
          <w:tab w:val="num" w:pos="4570"/>
        </w:tabs>
        <w:ind w:left="4570" w:hanging="180"/>
      </w:pPr>
    </w:lvl>
    <w:lvl w:ilvl="6" w:tplc="0409000F" w:tentative="1">
      <w:start w:val="1"/>
      <w:numFmt w:val="decimal"/>
      <w:lvlText w:val="%7."/>
      <w:lvlJc w:val="left"/>
      <w:pPr>
        <w:tabs>
          <w:tab w:val="num" w:pos="5290"/>
        </w:tabs>
        <w:ind w:left="5290" w:hanging="360"/>
      </w:pPr>
    </w:lvl>
    <w:lvl w:ilvl="7" w:tplc="04090019" w:tentative="1">
      <w:start w:val="1"/>
      <w:numFmt w:val="lowerLetter"/>
      <w:lvlText w:val="%8."/>
      <w:lvlJc w:val="left"/>
      <w:pPr>
        <w:tabs>
          <w:tab w:val="num" w:pos="6010"/>
        </w:tabs>
        <w:ind w:left="6010" w:hanging="360"/>
      </w:pPr>
    </w:lvl>
    <w:lvl w:ilvl="8" w:tplc="0409001B" w:tentative="1">
      <w:start w:val="1"/>
      <w:numFmt w:val="lowerRoman"/>
      <w:lvlText w:val="%9."/>
      <w:lvlJc w:val="right"/>
      <w:pPr>
        <w:tabs>
          <w:tab w:val="num" w:pos="6730"/>
        </w:tabs>
        <w:ind w:left="6730" w:hanging="180"/>
      </w:pPr>
    </w:lvl>
  </w:abstractNum>
  <w:abstractNum w:abstractNumId="34">
    <w:nsid w:val="3B002CA2"/>
    <w:multiLevelType w:val="hybridMultilevel"/>
    <w:tmpl w:val="E98C2CF6"/>
    <w:lvl w:ilvl="0" w:tplc="FD44B292">
      <w:start w:val="1"/>
      <w:numFmt w:val="decimal"/>
      <w:lvlText w:val="%1."/>
      <w:lvlJc w:val="left"/>
      <w:pPr>
        <w:tabs>
          <w:tab w:val="num" w:pos="360"/>
        </w:tabs>
        <w:ind w:left="360" w:hanging="360"/>
      </w:pPr>
      <w:rPr>
        <w:rFonts w:cs="David" w:hint="cs"/>
        <w:b w:val="0"/>
        <w:bCs/>
        <w:iCs w:val="0"/>
        <w:sz w:val="26"/>
        <w:szCs w:val="26"/>
      </w:rPr>
    </w:lvl>
    <w:lvl w:ilvl="1" w:tplc="BEE85B38">
      <w:start w:val="1"/>
      <w:numFmt w:val="decimal"/>
      <w:lvlText w:val="(%2)"/>
      <w:lvlJc w:val="left"/>
      <w:pPr>
        <w:tabs>
          <w:tab w:val="num" w:pos="1500"/>
        </w:tabs>
        <w:ind w:left="1500" w:hanging="420"/>
      </w:pPr>
      <w:rPr>
        <w:rFonts w:hint="default"/>
        <w:b w:val="0"/>
        <w:bCs/>
        <w:iCs w:val="0"/>
        <w:sz w:val="26"/>
        <w:szCs w:val="24"/>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0FF2D2D"/>
    <w:multiLevelType w:val="hybridMultilevel"/>
    <w:tmpl w:val="DBE21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1DF4D0A"/>
    <w:multiLevelType w:val="hybridMultilevel"/>
    <w:tmpl w:val="F650DC92"/>
    <w:lvl w:ilvl="0" w:tplc="C64CD8F6">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7">
    <w:nsid w:val="46697B22"/>
    <w:multiLevelType w:val="hybridMultilevel"/>
    <w:tmpl w:val="17FEC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CD2674"/>
    <w:multiLevelType w:val="hybridMultilevel"/>
    <w:tmpl w:val="1CEAA67A"/>
    <w:lvl w:ilvl="0" w:tplc="2CD658EC">
      <w:start w:val="1"/>
      <w:numFmt w:val="hebrew1"/>
      <w:pStyle w:val="4"/>
      <w:lvlText w:val="%1."/>
      <w:lvlJc w:val="center"/>
      <w:pPr>
        <w:tabs>
          <w:tab w:val="num" w:pos="360"/>
        </w:tabs>
        <w:ind w:left="360" w:hanging="360"/>
      </w:pPr>
      <w:rPr>
        <w:rFonts w:hint="default"/>
      </w:rPr>
    </w:lvl>
    <w:lvl w:ilvl="1" w:tplc="BEE4A776">
      <w:start w:val="1"/>
      <w:numFmt w:val="bullet"/>
      <w:lvlText w:val=""/>
      <w:lvlJc w:val="left"/>
      <w:pPr>
        <w:tabs>
          <w:tab w:val="num" w:pos="720"/>
        </w:tabs>
        <w:ind w:left="720" w:hanging="360"/>
      </w:pPr>
      <w:rPr>
        <w:rFonts w:ascii="Symbol" w:hAnsi="Symbol" w:hint="default"/>
        <w:color w:val="008000"/>
      </w:rPr>
    </w:lvl>
    <w:lvl w:ilvl="2" w:tplc="49FE11F8">
      <w:start w:val="1"/>
      <w:numFmt w:val="decimal"/>
      <w:lvlText w:val="%3."/>
      <w:lvlJc w:val="left"/>
      <w:pPr>
        <w:tabs>
          <w:tab w:val="num" w:pos="900"/>
        </w:tabs>
        <w:ind w:left="900" w:hanging="360"/>
      </w:pPr>
      <w:rPr>
        <w:rFonts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9">
    <w:nsid w:val="49BB614E"/>
    <w:multiLevelType w:val="hybridMultilevel"/>
    <w:tmpl w:val="087E12A2"/>
    <w:lvl w:ilvl="0" w:tplc="EA8EDB20">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0">
    <w:nsid w:val="4B8158CC"/>
    <w:multiLevelType w:val="hybridMultilevel"/>
    <w:tmpl w:val="F70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C3840D0"/>
    <w:multiLevelType w:val="hybridMultilevel"/>
    <w:tmpl w:val="AF7EF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EAD1BB3"/>
    <w:multiLevelType w:val="hybridMultilevel"/>
    <w:tmpl w:val="53844348"/>
    <w:lvl w:ilvl="0" w:tplc="FD44B292">
      <w:start w:val="1"/>
      <w:numFmt w:val="decimal"/>
      <w:lvlText w:val="%1."/>
      <w:lvlJc w:val="left"/>
      <w:pPr>
        <w:tabs>
          <w:tab w:val="num" w:pos="360"/>
        </w:tabs>
        <w:ind w:left="360" w:hanging="360"/>
      </w:pPr>
      <w:rPr>
        <w:rFonts w:cs="David" w:hint="cs"/>
        <w:b w:val="0"/>
        <w:bCs/>
        <w:iCs w:val="0"/>
        <w:sz w:val="26"/>
        <w:szCs w:val="26"/>
      </w:rPr>
    </w:lvl>
    <w:lvl w:ilvl="1" w:tplc="AB3CBA4A">
      <w:start w:val="1"/>
      <w:numFmt w:val="decimal"/>
      <w:lvlText w:val="(%2)"/>
      <w:lvlJc w:val="left"/>
      <w:pPr>
        <w:tabs>
          <w:tab w:val="num" w:pos="1440"/>
        </w:tabs>
        <w:ind w:left="1440" w:hanging="360"/>
      </w:pPr>
      <w:rPr>
        <w:rFonts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001755F"/>
    <w:multiLevelType w:val="hybridMultilevel"/>
    <w:tmpl w:val="F4225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058173D"/>
    <w:multiLevelType w:val="hybridMultilevel"/>
    <w:tmpl w:val="647EBF5E"/>
    <w:lvl w:ilvl="0" w:tplc="30941C4E">
      <w:start w:val="1"/>
      <w:numFmt w:val="decimal"/>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45">
    <w:nsid w:val="543E2308"/>
    <w:multiLevelType w:val="hybridMultilevel"/>
    <w:tmpl w:val="6EF66E36"/>
    <w:lvl w:ilvl="0" w:tplc="83CC8E74">
      <w:start w:val="1"/>
      <w:numFmt w:val="decimal"/>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46">
    <w:nsid w:val="54D11336"/>
    <w:multiLevelType w:val="hybridMultilevel"/>
    <w:tmpl w:val="E3B4F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9AE203C"/>
    <w:multiLevelType w:val="hybridMultilevel"/>
    <w:tmpl w:val="25769C38"/>
    <w:lvl w:ilvl="0" w:tplc="A10A6684">
      <w:start w:val="1"/>
      <w:numFmt w:val="hebrew1"/>
      <w:lvlText w:val="%1."/>
      <w:lvlJc w:val="left"/>
      <w:pPr>
        <w:tabs>
          <w:tab w:val="num" w:pos="540"/>
        </w:tabs>
        <w:ind w:left="540" w:hanging="360"/>
      </w:pPr>
      <w:rPr>
        <w:rFonts w:ascii="Times New Roman" w:eastAsia="Times New Roman" w:hAnsi="Times New Roman" w:cs="David"/>
        <w:lang w:val="en-US"/>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8">
    <w:nsid w:val="5B7906CB"/>
    <w:multiLevelType w:val="hybridMultilevel"/>
    <w:tmpl w:val="29A2B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DB77274"/>
    <w:multiLevelType w:val="hybridMultilevel"/>
    <w:tmpl w:val="2C006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3FA28E1"/>
    <w:multiLevelType w:val="hybridMultilevel"/>
    <w:tmpl w:val="909AF85A"/>
    <w:lvl w:ilvl="0" w:tplc="03FAC6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6440318A"/>
    <w:multiLevelType w:val="hybridMultilevel"/>
    <w:tmpl w:val="A1F6D61E"/>
    <w:lvl w:ilvl="0" w:tplc="53869904">
      <w:start w:val="1"/>
      <w:numFmt w:val="decimal"/>
      <w:lvlText w:val="%1."/>
      <w:lvlJc w:val="left"/>
      <w:pPr>
        <w:ind w:left="360" w:hanging="360"/>
      </w:pPr>
      <w:rPr>
        <w:rFonts w:hint="default"/>
        <w:sz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66E10B63"/>
    <w:multiLevelType w:val="hybridMultilevel"/>
    <w:tmpl w:val="3D288C04"/>
    <w:lvl w:ilvl="0" w:tplc="1FEABD06">
      <w:start w:val="1"/>
      <w:numFmt w:val="hebrew1"/>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53">
    <w:nsid w:val="69EC4A41"/>
    <w:multiLevelType w:val="hybridMultilevel"/>
    <w:tmpl w:val="C2BE8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BF14F7C"/>
    <w:multiLevelType w:val="hybridMultilevel"/>
    <w:tmpl w:val="52E0BC46"/>
    <w:lvl w:ilvl="0" w:tplc="446C5788">
      <w:start w:val="1"/>
      <w:numFmt w:val="decimal"/>
      <w:lvlText w:val="%1."/>
      <w:lvlJc w:val="left"/>
      <w:pPr>
        <w:tabs>
          <w:tab w:val="num" w:pos="258"/>
        </w:tabs>
        <w:ind w:left="258" w:hanging="360"/>
      </w:pPr>
      <w:rPr>
        <w:rFonts w:hint="default"/>
        <w:color w:val="0000FF"/>
      </w:rPr>
    </w:lvl>
    <w:lvl w:ilvl="1" w:tplc="04090019" w:tentative="1">
      <w:start w:val="1"/>
      <w:numFmt w:val="lowerLetter"/>
      <w:lvlText w:val="%2."/>
      <w:lvlJc w:val="left"/>
      <w:pPr>
        <w:tabs>
          <w:tab w:val="num" w:pos="978"/>
        </w:tabs>
        <w:ind w:left="978" w:hanging="360"/>
      </w:pPr>
    </w:lvl>
    <w:lvl w:ilvl="2" w:tplc="0409001B" w:tentative="1">
      <w:start w:val="1"/>
      <w:numFmt w:val="lowerRoman"/>
      <w:lvlText w:val="%3."/>
      <w:lvlJc w:val="right"/>
      <w:pPr>
        <w:tabs>
          <w:tab w:val="num" w:pos="1698"/>
        </w:tabs>
        <w:ind w:left="1698" w:hanging="180"/>
      </w:pPr>
    </w:lvl>
    <w:lvl w:ilvl="3" w:tplc="0409000F" w:tentative="1">
      <w:start w:val="1"/>
      <w:numFmt w:val="decimal"/>
      <w:lvlText w:val="%4."/>
      <w:lvlJc w:val="left"/>
      <w:pPr>
        <w:tabs>
          <w:tab w:val="num" w:pos="2418"/>
        </w:tabs>
        <w:ind w:left="2418" w:hanging="360"/>
      </w:pPr>
    </w:lvl>
    <w:lvl w:ilvl="4" w:tplc="04090019" w:tentative="1">
      <w:start w:val="1"/>
      <w:numFmt w:val="lowerLetter"/>
      <w:lvlText w:val="%5."/>
      <w:lvlJc w:val="left"/>
      <w:pPr>
        <w:tabs>
          <w:tab w:val="num" w:pos="3138"/>
        </w:tabs>
        <w:ind w:left="3138" w:hanging="360"/>
      </w:pPr>
    </w:lvl>
    <w:lvl w:ilvl="5" w:tplc="0409001B" w:tentative="1">
      <w:start w:val="1"/>
      <w:numFmt w:val="lowerRoman"/>
      <w:lvlText w:val="%6."/>
      <w:lvlJc w:val="right"/>
      <w:pPr>
        <w:tabs>
          <w:tab w:val="num" w:pos="3858"/>
        </w:tabs>
        <w:ind w:left="3858" w:hanging="180"/>
      </w:pPr>
    </w:lvl>
    <w:lvl w:ilvl="6" w:tplc="0409000F" w:tentative="1">
      <w:start w:val="1"/>
      <w:numFmt w:val="decimal"/>
      <w:lvlText w:val="%7."/>
      <w:lvlJc w:val="left"/>
      <w:pPr>
        <w:tabs>
          <w:tab w:val="num" w:pos="4578"/>
        </w:tabs>
        <w:ind w:left="4578" w:hanging="360"/>
      </w:pPr>
    </w:lvl>
    <w:lvl w:ilvl="7" w:tplc="04090019" w:tentative="1">
      <w:start w:val="1"/>
      <w:numFmt w:val="lowerLetter"/>
      <w:lvlText w:val="%8."/>
      <w:lvlJc w:val="left"/>
      <w:pPr>
        <w:tabs>
          <w:tab w:val="num" w:pos="5298"/>
        </w:tabs>
        <w:ind w:left="5298" w:hanging="360"/>
      </w:pPr>
    </w:lvl>
    <w:lvl w:ilvl="8" w:tplc="0409001B" w:tentative="1">
      <w:start w:val="1"/>
      <w:numFmt w:val="lowerRoman"/>
      <w:lvlText w:val="%9."/>
      <w:lvlJc w:val="right"/>
      <w:pPr>
        <w:tabs>
          <w:tab w:val="num" w:pos="6018"/>
        </w:tabs>
        <w:ind w:left="6018" w:hanging="180"/>
      </w:pPr>
    </w:lvl>
  </w:abstractNum>
  <w:abstractNum w:abstractNumId="55">
    <w:nsid w:val="6D6923DF"/>
    <w:multiLevelType w:val="hybridMultilevel"/>
    <w:tmpl w:val="9B0219DC"/>
    <w:lvl w:ilvl="0" w:tplc="53DEFC6E">
      <w:start w:val="1"/>
      <w:numFmt w:val="hebrew1"/>
      <w:pStyle w:val="3"/>
      <w:lvlText w:val="%1."/>
      <w:lvlJc w:val="center"/>
      <w:pPr>
        <w:tabs>
          <w:tab w:val="num" w:pos="360"/>
        </w:tabs>
        <w:ind w:left="360" w:hanging="360"/>
      </w:pPr>
      <w:rPr>
        <w:rFonts w:hint="default"/>
      </w:rPr>
    </w:lvl>
    <w:lvl w:ilvl="1" w:tplc="FD44B292">
      <w:start w:val="1"/>
      <w:numFmt w:val="decimal"/>
      <w:lvlText w:val="%2."/>
      <w:lvlJc w:val="left"/>
      <w:pPr>
        <w:tabs>
          <w:tab w:val="num" w:pos="360"/>
        </w:tabs>
        <w:ind w:left="360" w:hanging="360"/>
      </w:pPr>
      <w:rPr>
        <w:rFonts w:cs="David" w:hint="cs"/>
        <w:b w:val="0"/>
        <w:bCs/>
        <w:iCs w:val="0"/>
        <w:sz w:val="26"/>
        <w:szCs w:val="26"/>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6">
    <w:nsid w:val="6EA27922"/>
    <w:multiLevelType w:val="hybridMultilevel"/>
    <w:tmpl w:val="0FC4425C"/>
    <w:lvl w:ilvl="0" w:tplc="508EE30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7">
    <w:nsid w:val="707B5C52"/>
    <w:multiLevelType w:val="hybridMultilevel"/>
    <w:tmpl w:val="FDD0C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71232233"/>
    <w:multiLevelType w:val="hybridMultilevel"/>
    <w:tmpl w:val="2988BD4E"/>
    <w:lvl w:ilvl="0" w:tplc="FF3EA9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998"/>
        </w:tabs>
        <w:ind w:left="998" w:hanging="360"/>
      </w:pPr>
    </w:lvl>
    <w:lvl w:ilvl="2" w:tplc="0409001B" w:tentative="1">
      <w:start w:val="1"/>
      <w:numFmt w:val="lowerRoman"/>
      <w:lvlText w:val="%3."/>
      <w:lvlJc w:val="right"/>
      <w:pPr>
        <w:tabs>
          <w:tab w:val="num" w:pos="1718"/>
        </w:tabs>
        <w:ind w:left="1718" w:hanging="180"/>
      </w:pPr>
    </w:lvl>
    <w:lvl w:ilvl="3" w:tplc="0409000F" w:tentative="1">
      <w:start w:val="1"/>
      <w:numFmt w:val="decimal"/>
      <w:lvlText w:val="%4."/>
      <w:lvlJc w:val="left"/>
      <w:pPr>
        <w:tabs>
          <w:tab w:val="num" w:pos="2438"/>
        </w:tabs>
        <w:ind w:left="2438" w:hanging="360"/>
      </w:pPr>
    </w:lvl>
    <w:lvl w:ilvl="4" w:tplc="04090019" w:tentative="1">
      <w:start w:val="1"/>
      <w:numFmt w:val="lowerLetter"/>
      <w:lvlText w:val="%5."/>
      <w:lvlJc w:val="left"/>
      <w:pPr>
        <w:tabs>
          <w:tab w:val="num" w:pos="3158"/>
        </w:tabs>
        <w:ind w:left="3158" w:hanging="360"/>
      </w:pPr>
    </w:lvl>
    <w:lvl w:ilvl="5" w:tplc="0409001B" w:tentative="1">
      <w:start w:val="1"/>
      <w:numFmt w:val="lowerRoman"/>
      <w:lvlText w:val="%6."/>
      <w:lvlJc w:val="right"/>
      <w:pPr>
        <w:tabs>
          <w:tab w:val="num" w:pos="3878"/>
        </w:tabs>
        <w:ind w:left="3878" w:hanging="180"/>
      </w:pPr>
    </w:lvl>
    <w:lvl w:ilvl="6" w:tplc="0409000F" w:tentative="1">
      <w:start w:val="1"/>
      <w:numFmt w:val="decimal"/>
      <w:lvlText w:val="%7."/>
      <w:lvlJc w:val="left"/>
      <w:pPr>
        <w:tabs>
          <w:tab w:val="num" w:pos="4598"/>
        </w:tabs>
        <w:ind w:left="4598" w:hanging="360"/>
      </w:pPr>
    </w:lvl>
    <w:lvl w:ilvl="7" w:tplc="04090019" w:tentative="1">
      <w:start w:val="1"/>
      <w:numFmt w:val="lowerLetter"/>
      <w:lvlText w:val="%8."/>
      <w:lvlJc w:val="left"/>
      <w:pPr>
        <w:tabs>
          <w:tab w:val="num" w:pos="5318"/>
        </w:tabs>
        <w:ind w:left="5318" w:hanging="360"/>
      </w:pPr>
    </w:lvl>
    <w:lvl w:ilvl="8" w:tplc="0409001B" w:tentative="1">
      <w:start w:val="1"/>
      <w:numFmt w:val="lowerRoman"/>
      <w:lvlText w:val="%9."/>
      <w:lvlJc w:val="right"/>
      <w:pPr>
        <w:tabs>
          <w:tab w:val="num" w:pos="6038"/>
        </w:tabs>
        <w:ind w:left="6038" w:hanging="180"/>
      </w:pPr>
    </w:lvl>
  </w:abstractNum>
  <w:abstractNum w:abstractNumId="59">
    <w:nsid w:val="71E82EC0"/>
    <w:multiLevelType w:val="hybridMultilevel"/>
    <w:tmpl w:val="7B98FF18"/>
    <w:lvl w:ilvl="0" w:tplc="F8B006EA">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A340230"/>
    <w:multiLevelType w:val="hybridMultilevel"/>
    <w:tmpl w:val="2988BD4E"/>
    <w:lvl w:ilvl="0" w:tplc="FF3EA9B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358"/>
        </w:tabs>
        <w:ind w:left="1358" w:hanging="360"/>
      </w:pPr>
    </w:lvl>
    <w:lvl w:ilvl="2" w:tplc="0409001B" w:tentative="1">
      <w:start w:val="1"/>
      <w:numFmt w:val="lowerRoman"/>
      <w:lvlText w:val="%3."/>
      <w:lvlJc w:val="right"/>
      <w:pPr>
        <w:tabs>
          <w:tab w:val="num" w:pos="2078"/>
        </w:tabs>
        <w:ind w:left="2078" w:hanging="180"/>
      </w:pPr>
    </w:lvl>
    <w:lvl w:ilvl="3" w:tplc="0409000F" w:tentative="1">
      <w:start w:val="1"/>
      <w:numFmt w:val="decimal"/>
      <w:lvlText w:val="%4."/>
      <w:lvlJc w:val="left"/>
      <w:pPr>
        <w:tabs>
          <w:tab w:val="num" w:pos="2798"/>
        </w:tabs>
        <w:ind w:left="2798" w:hanging="360"/>
      </w:pPr>
    </w:lvl>
    <w:lvl w:ilvl="4" w:tplc="04090019" w:tentative="1">
      <w:start w:val="1"/>
      <w:numFmt w:val="lowerLetter"/>
      <w:lvlText w:val="%5."/>
      <w:lvlJc w:val="left"/>
      <w:pPr>
        <w:tabs>
          <w:tab w:val="num" w:pos="3518"/>
        </w:tabs>
        <w:ind w:left="3518" w:hanging="360"/>
      </w:pPr>
    </w:lvl>
    <w:lvl w:ilvl="5" w:tplc="0409001B" w:tentative="1">
      <w:start w:val="1"/>
      <w:numFmt w:val="lowerRoman"/>
      <w:lvlText w:val="%6."/>
      <w:lvlJc w:val="right"/>
      <w:pPr>
        <w:tabs>
          <w:tab w:val="num" w:pos="4238"/>
        </w:tabs>
        <w:ind w:left="4238" w:hanging="180"/>
      </w:pPr>
    </w:lvl>
    <w:lvl w:ilvl="6" w:tplc="0409000F" w:tentative="1">
      <w:start w:val="1"/>
      <w:numFmt w:val="decimal"/>
      <w:lvlText w:val="%7."/>
      <w:lvlJc w:val="left"/>
      <w:pPr>
        <w:tabs>
          <w:tab w:val="num" w:pos="4958"/>
        </w:tabs>
        <w:ind w:left="4958" w:hanging="360"/>
      </w:pPr>
    </w:lvl>
    <w:lvl w:ilvl="7" w:tplc="04090019" w:tentative="1">
      <w:start w:val="1"/>
      <w:numFmt w:val="lowerLetter"/>
      <w:lvlText w:val="%8."/>
      <w:lvlJc w:val="left"/>
      <w:pPr>
        <w:tabs>
          <w:tab w:val="num" w:pos="5678"/>
        </w:tabs>
        <w:ind w:left="5678" w:hanging="360"/>
      </w:pPr>
    </w:lvl>
    <w:lvl w:ilvl="8" w:tplc="0409001B" w:tentative="1">
      <w:start w:val="1"/>
      <w:numFmt w:val="lowerRoman"/>
      <w:lvlText w:val="%9."/>
      <w:lvlJc w:val="right"/>
      <w:pPr>
        <w:tabs>
          <w:tab w:val="num" w:pos="6398"/>
        </w:tabs>
        <w:ind w:left="6398" w:hanging="180"/>
      </w:pPr>
    </w:lvl>
  </w:abstractNum>
  <w:abstractNum w:abstractNumId="61">
    <w:nsid w:val="7B1F1BA9"/>
    <w:multiLevelType w:val="hybridMultilevel"/>
    <w:tmpl w:val="D7C2A912"/>
    <w:lvl w:ilvl="0" w:tplc="A72848D0">
      <w:start w:val="1"/>
      <w:numFmt w:val="decimal"/>
      <w:lvlText w:val="%1."/>
      <w:lvlJc w:val="left"/>
      <w:pPr>
        <w:tabs>
          <w:tab w:val="num" w:pos="720"/>
        </w:tabs>
        <w:ind w:left="720" w:hanging="360"/>
      </w:pPr>
      <w:rPr>
        <w:rFonts w:cs="David"/>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7DE338F0"/>
    <w:multiLevelType w:val="hybridMultilevel"/>
    <w:tmpl w:val="81646248"/>
    <w:lvl w:ilvl="0" w:tplc="F7BC8CFE">
      <w:start w:val="1"/>
      <w:numFmt w:val="hebrew1"/>
      <w:pStyle w:val="2"/>
      <w:lvlText w:val="%1."/>
      <w:lvlJc w:val="center"/>
      <w:pPr>
        <w:tabs>
          <w:tab w:val="num" w:pos="360"/>
        </w:tabs>
        <w:ind w:left="360" w:hanging="360"/>
      </w:pPr>
      <w:rPr>
        <w:rFonts w:hint="default"/>
      </w:rPr>
    </w:lvl>
    <w:lvl w:ilvl="1" w:tplc="573AA1BA">
      <w:start w:val="8"/>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3">
    <w:nsid w:val="7ED46511"/>
    <w:multiLevelType w:val="hybridMultilevel"/>
    <w:tmpl w:val="FA60E5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2"/>
  </w:num>
  <w:num w:numId="2">
    <w:abstractNumId w:val="55"/>
  </w:num>
  <w:num w:numId="3">
    <w:abstractNumId w:val="38"/>
  </w:num>
  <w:num w:numId="4">
    <w:abstractNumId w:val="12"/>
  </w:num>
  <w:num w:numId="5">
    <w:abstractNumId w:val="34"/>
  </w:num>
  <w:num w:numId="6">
    <w:abstractNumId w:val="6"/>
  </w:num>
  <w:num w:numId="7">
    <w:abstractNumId w:val="9"/>
  </w:num>
  <w:num w:numId="8">
    <w:abstractNumId w:val="11"/>
  </w:num>
  <w:num w:numId="9">
    <w:abstractNumId w:val="29"/>
  </w:num>
  <w:num w:numId="10">
    <w:abstractNumId w:val="42"/>
  </w:num>
  <w:num w:numId="11">
    <w:abstractNumId w:val="25"/>
  </w:num>
  <w:num w:numId="12">
    <w:abstractNumId w:val="58"/>
  </w:num>
  <w:num w:numId="13">
    <w:abstractNumId w:val="54"/>
  </w:num>
  <w:num w:numId="14">
    <w:abstractNumId w:val="7"/>
  </w:num>
  <w:num w:numId="15">
    <w:abstractNumId w:val="3"/>
  </w:num>
  <w:num w:numId="16">
    <w:abstractNumId w:val="33"/>
  </w:num>
  <w:num w:numId="17">
    <w:abstractNumId w:val="22"/>
  </w:num>
  <w:num w:numId="18">
    <w:abstractNumId w:val="61"/>
  </w:num>
  <w:num w:numId="19">
    <w:abstractNumId w:val="31"/>
  </w:num>
  <w:num w:numId="20">
    <w:abstractNumId w:val="8"/>
  </w:num>
  <w:num w:numId="21">
    <w:abstractNumId w:val="2"/>
  </w:num>
  <w:num w:numId="22">
    <w:abstractNumId w:val="1"/>
  </w:num>
  <w:num w:numId="23">
    <w:abstractNumId w:val="32"/>
  </w:num>
  <w:num w:numId="24">
    <w:abstractNumId w:val="60"/>
  </w:num>
  <w:num w:numId="25">
    <w:abstractNumId w:val="13"/>
  </w:num>
  <w:num w:numId="26">
    <w:abstractNumId w:val="18"/>
  </w:num>
  <w:num w:numId="27">
    <w:abstractNumId w:val="14"/>
  </w:num>
  <w:num w:numId="28">
    <w:abstractNumId w:val="43"/>
  </w:num>
  <w:num w:numId="29">
    <w:abstractNumId w:val="51"/>
  </w:num>
  <w:num w:numId="30">
    <w:abstractNumId w:val="50"/>
  </w:num>
  <w:num w:numId="31">
    <w:abstractNumId w:val="59"/>
  </w:num>
  <w:num w:numId="32">
    <w:abstractNumId w:val="57"/>
  </w:num>
  <w:num w:numId="33">
    <w:abstractNumId w:val="17"/>
  </w:num>
  <w:num w:numId="34">
    <w:abstractNumId w:val="37"/>
  </w:num>
  <w:num w:numId="35">
    <w:abstractNumId w:val="63"/>
  </w:num>
  <w:num w:numId="36">
    <w:abstractNumId w:val="56"/>
  </w:num>
  <w:num w:numId="37">
    <w:abstractNumId w:val="20"/>
  </w:num>
  <w:num w:numId="38">
    <w:abstractNumId w:val="40"/>
  </w:num>
  <w:num w:numId="39">
    <w:abstractNumId w:val="23"/>
  </w:num>
  <w:num w:numId="40">
    <w:abstractNumId w:val="47"/>
  </w:num>
  <w:num w:numId="41">
    <w:abstractNumId w:val="5"/>
  </w:num>
  <w:num w:numId="42">
    <w:abstractNumId w:val="48"/>
  </w:num>
  <w:num w:numId="43">
    <w:abstractNumId w:val="16"/>
  </w:num>
  <w:num w:numId="44">
    <w:abstractNumId w:val="27"/>
  </w:num>
  <w:num w:numId="45">
    <w:abstractNumId w:val="35"/>
  </w:num>
  <w:num w:numId="46">
    <w:abstractNumId w:val="53"/>
  </w:num>
  <w:num w:numId="47">
    <w:abstractNumId w:val="10"/>
  </w:num>
  <w:num w:numId="48">
    <w:abstractNumId w:val="41"/>
  </w:num>
  <w:num w:numId="49">
    <w:abstractNumId w:val="46"/>
  </w:num>
  <w:num w:numId="50">
    <w:abstractNumId w:val="26"/>
  </w:num>
  <w:num w:numId="51">
    <w:abstractNumId w:val="49"/>
  </w:num>
  <w:num w:numId="52">
    <w:abstractNumId w:val="52"/>
  </w:num>
  <w:num w:numId="53">
    <w:abstractNumId w:val="45"/>
  </w:num>
  <w:num w:numId="54">
    <w:abstractNumId w:val="30"/>
  </w:num>
  <w:num w:numId="55">
    <w:abstractNumId w:val="39"/>
  </w:num>
  <w:num w:numId="56">
    <w:abstractNumId w:val="28"/>
  </w:num>
  <w:num w:numId="57">
    <w:abstractNumId w:val="19"/>
  </w:num>
  <w:num w:numId="58">
    <w:abstractNumId w:val="36"/>
  </w:num>
  <w:num w:numId="59">
    <w:abstractNumId w:val="4"/>
  </w:num>
  <w:num w:numId="60">
    <w:abstractNumId w:val="15"/>
  </w:num>
  <w:num w:numId="61">
    <w:abstractNumId w:val="0"/>
  </w:num>
  <w:num w:numId="62">
    <w:abstractNumId w:val="44"/>
  </w:num>
  <w:num w:numId="63">
    <w:abstractNumId w:val="24"/>
  </w:num>
  <w:num w:numId="64">
    <w:abstractNumId w:val="2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8BE"/>
    <w:rsid w:val="00010412"/>
    <w:rsid w:val="000118BE"/>
    <w:rsid w:val="00014E5E"/>
    <w:rsid w:val="000215C8"/>
    <w:rsid w:val="000314DD"/>
    <w:rsid w:val="00035B57"/>
    <w:rsid w:val="00076EC9"/>
    <w:rsid w:val="000A3C83"/>
    <w:rsid w:val="000A68A1"/>
    <w:rsid w:val="000D3618"/>
    <w:rsid w:val="0011570B"/>
    <w:rsid w:val="00125505"/>
    <w:rsid w:val="001734C4"/>
    <w:rsid w:val="00183324"/>
    <w:rsid w:val="001974A6"/>
    <w:rsid w:val="001A3FF2"/>
    <w:rsid w:val="001B5E00"/>
    <w:rsid w:val="001C0BC5"/>
    <w:rsid w:val="00213319"/>
    <w:rsid w:val="00272F96"/>
    <w:rsid w:val="0028013E"/>
    <w:rsid w:val="00287A86"/>
    <w:rsid w:val="002A4831"/>
    <w:rsid w:val="002C2434"/>
    <w:rsid w:val="002D321E"/>
    <w:rsid w:val="002E40C5"/>
    <w:rsid w:val="00337BD8"/>
    <w:rsid w:val="00346DF2"/>
    <w:rsid w:val="00365DA8"/>
    <w:rsid w:val="00377306"/>
    <w:rsid w:val="00392799"/>
    <w:rsid w:val="003D7AF6"/>
    <w:rsid w:val="003D7DBB"/>
    <w:rsid w:val="003E16ED"/>
    <w:rsid w:val="003F58E4"/>
    <w:rsid w:val="004229B0"/>
    <w:rsid w:val="004374E3"/>
    <w:rsid w:val="004432F3"/>
    <w:rsid w:val="00446D45"/>
    <w:rsid w:val="00453A20"/>
    <w:rsid w:val="00453CD6"/>
    <w:rsid w:val="004540FC"/>
    <w:rsid w:val="0047198F"/>
    <w:rsid w:val="00484C66"/>
    <w:rsid w:val="004D68E5"/>
    <w:rsid w:val="004F692C"/>
    <w:rsid w:val="00507C71"/>
    <w:rsid w:val="00522E6A"/>
    <w:rsid w:val="00551561"/>
    <w:rsid w:val="00553308"/>
    <w:rsid w:val="005557C2"/>
    <w:rsid w:val="005773AA"/>
    <w:rsid w:val="005804EC"/>
    <w:rsid w:val="005A7CFB"/>
    <w:rsid w:val="005B29F9"/>
    <w:rsid w:val="005C1F46"/>
    <w:rsid w:val="005C3C65"/>
    <w:rsid w:val="005E0D2D"/>
    <w:rsid w:val="005F78DF"/>
    <w:rsid w:val="0060178B"/>
    <w:rsid w:val="00611F01"/>
    <w:rsid w:val="00615610"/>
    <w:rsid w:val="00616DD7"/>
    <w:rsid w:val="00657FAA"/>
    <w:rsid w:val="006740F5"/>
    <w:rsid w:val="00675CB0"/>
    <w:rsid w:val="00681CAC"/>
    <w:rsid w:val="00682483"/>
    <w:rsid w:val="006931EE"/>
    <w:rsid w:val="006967FB"/>
    <w:rsid w:val="006C2B3A"/>
    <w:rsid w:val="006D1F2B"/>
    <w:rsid w:val="006D6C45"/>
    <w:rsid w:val="006E7B51"/>
    <w:rsid w:val="006F3193"/>
    <w:rsid w:val="0070250D"/>
    <w:rsid w:val="00711683"/>
    <w:rsid w:val="007414E7"/>
    <w:rsid w:val="00755518"/>
    <w:rsid w:val="007A0B86"/>
    <w:rsid w:val="007A0CE8"/>
    <w:rsid w:val="007A231C"/>
    <w:rsid w:val="007B2396"/>
    <w:rsid w:val="007D406E"/>
    <w:rsid w:val="007F60E2"/>
    <w:rsid w:val="00814016"/>
    <w:rsid w:val="00845173"/>
    <w:rsid w:val="008469B5"/>
    <w:rsid w:val="00847A05"/>
    <w:rsid w:val="00872BA5"/>
    <w:rsid w:val="00896220"/>
    <w:rsid w:val="008963E6"/>
    <w:rsid w:val="008C415B"/>
    <w:rsid w:val="008D12E9"/>
    <w:rsid w:val="008D1F4D"/>
    <w:rsid w:val="008F3E73"/>
    <w:rsid w:val="008F590E"/>
    <w:rsid w:val="00925361"/>
    <w:rsid w:val="00933E5D"/>
    <w:rsid w:val="00940B27"/>
    <w:rsid w:val="00943287"/>
    <w:rsid w:val="00952EF1"/>
    <w:rsid w:val="0095504E"/>
    <w:rsid w:val="00965B72"/>
    <w:rsid w:val="00967E29"/>
    <w:rsid w:val="0097194C"/>
    <w:rsid w:val="009B27B2"/>
    <w:rsid w:val="009F6592"/>
    <w:rsid w:val="009F6B85"/>
    <w:rsid w:val="009F6E2E"/>
    <w:rsid w:val="00A10631"/>
    <w:rsid w:val="00A12D79"/>
    <w:rsid w:val="00A12D8C"/>
    <w:rsid w:val="00A24CFF"/>
    <w:rsid w:val="00A43647"/>
    <w:rsid w:val="00A45577"/>
    <w:rsid w:val="00A556F2"/>
    <w:rsid w:val="00A70FCD"/>
    <w:rsid w:val="00A8553B"/>
    <w:rsid w:val="00A910C6"/>
    <w:rsid w:val="00A94915"/>
    <w:rsid w:val="00A97BAE"/>
    <w:rsid w:val="00AA6BD4"/>
    <w:rsid w:val="00AC35C6"/>
    <w:rsid w:val="00AD7E28"/>
    <w:rsid w:val="00AE0F6D"/>
    <w:rsid w:val="00AE17A8"/>
    <w:rsid w:val="00AE7BAC"/>
    <w:rsid w:val="00B11772"/>
    <w:rsid w:val="00B1399C"/>
    <w:rsid w:val="00B170A9"/>
    <w:rsid w:val="00B178C8"/>
    <w:rsid w:val="00B32EA7"/>
    <w:rsid w:val="00B45B66"/>
    <w:rsid w:val="00B91A8A"/>
    <w:rsid w:val="00B92C47"/>
    <w:rsid w:val="00B95D9B"/>
    <w:rsid w:val="00BA6385"/>
    <w:rsid w:val="00BB301E"/>
    <w:rsid w:val="00BB3D2E"/>
    <w:rsid w:val="00BB3EEA"/>
    <w:rsid w:val="00BB4B32"/>
    <w:rsid w:val="00BB6448"/>
    <w:rsid w:val="00BC3E4B"/>
    <w:rsid w:val="00BC69A9"/>
    <w:rsid w:val="00BD3500"/>
    <w:rsid w:val="00BF39B1"/>
    <w:rsid w:val="00C037C5"/>
    <w:rsid w:val="00C0506A"/>
    <w:rsid w:val="00C060AD"/>
    <w:rsid w:val="00C542C9"/>
    <w:rsid w:val="00C622BB"/>
    <w:rsid w:val="00C702E1"/>
    <w:rsid w:val="00C7259F"/>
    <w:rsid w:val="00CB2FEA"/>
    <w:rsid w:val="00CC2588"/>
    <w:rsid w:val="00CE1493"/>
    <w:rsid w:val="00CE7B6B"/>
    <w:rsid w:val="00CF2FDA"/>
    <w:rsid w:val="00D238C2"/>
    <w:rsid w:val="00D33E77"/>
    <w:rsid w:val="00D37D65"/>
    <w:rsid w:val="00D41FDF"/>
    <w:rsid w:val="00D8093F"/>
    <w:rsid w:val="00D81634"/>
    <w:rsid w:val="00DA5A2D"/>
    <w:rsid w:val="00DC1DBF"/>
    <w:rsid w:val="00DD1BC4"/>
    <w:rsid w:val="00DF20AB"/>
    <w:rsid w:val="00DF3697"/>
    <w:rsid w:val="00E17AA3"/>
    <w:rsid w:val="00E20BD3"/>
    <w:rsid w:val="00E303A0"/>
    <w:rsid w:val="00E342BB"/>
    <w:rsid w:val="00E368D4"/>
    <w:rsid w:val="00E93A47"/>
    <w:rsid w:val="00EC4D67"/>
    <w:rsid w:val="00ED652A"/>
    <w:rsid w:val="00EF2A2E"/>
    <w:rsid w:val="00F01336"/>
    <w:rsid w:val="00F04202"/>
    <w:rsid w:val="00F07850"/>
    <w:rsid w:val="00F162C0"/>
    <w:rsid w:val="00F37A9D"/>
    <w:rsid w:val="00F46847"/>
    <w:rsid w:val="00F47F9C"/>
    <w:rsid w:val="00F56804"/>
    <w:rsid w:val="00F845EA"/>
    <w:rsid w:val="00FB20F6"/>
    <w:rsid w:val="00FE106D"/>
    <w:rsid w:val="00FE36CE"/>
    <w:rsid w:val="00FF0EF3"/>
    <w:rsid w:val="00FF211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18BE"/>
    <w:rPr>
      <w:rFonts w:cs="David"/>
      <w:szCs w:val="24"/>
    </w:rPr>
  </w:style>
  <w:style w:type="paragraph" w:styleId="1">
    <w:name w:val="heading 1"/>
    <w:basedOn w:val="a"/>
    <w:link w:val="10"/>
    <w:qFormat/>
    <w:rsid w:val="00FB20F6"/>
    <w:pPr>
      <w:tabs>
        <w:tab w:val="left" w:pos="0"/>
      </w:tabs>
      <w:ind w:left="397" w:hanging="397"/>
      <w:jc w:val="both"/>
      <w:outlineLvl w:val="0"/>
    </w:pPr>
    <w:rPr>
      <w:sz w:val="18"/>
    </w:rPr>
  </w:style>
  <w:style w:type="paragraph" w:styleId="20">
    <w:name w:val="heading 2"/>
    <w:basedOn w:val="a"/>
    <w:next w:val="a"/>
    <w:link w:val="21"/>
    <w:qFormat/>
    <w:rsid w:val="00FB20F6"/>
    <w:pPr>
      <w:tabs>
        <w:tab w:val="left" w:pos="397"/>
        <w:tab w:val="left" w:pos="794"/>
      </w:tabs>
      <w:spacing w:before="120"/>
      <w:ind w:left="794" w:hanging="794"/>
      <w:jc w:val="both"/>
      <w:outlineLvl w:val="1"/>
    </w:pPr>
    <w:rPr>
      <w:sz w:val="18"/>
    </w:rPr>
  </w:style>
  <w:style w:type="paragraph" w:styleId="30">
    <w:name w:val="heading 3"/>
    <w:basedOn w:val="a"/>
    <w:next w:val="a0"/>
    <w:link w:val="31"/>
    <w:qFormat/>
    <w:rsid w:val="00FB20F6"/>
    <w:pPr>
      <w:tabs>
        <w:tab w:val="left" w:pos="0"/>
        <w:tab w:val="left" w:pos="397"/>
        <w:tab w:val="left" w:pos="794"/>
        <w:tab w:val="left" w:pos="1191"/>
      </w:tabs>
      <w:ind w:left="360" w:hanging="1191"/>
      <w:jc w:val="both"/>
      <w:outlineLvl w:val="2"/>
    </w:pPr>
    <w:rPr>
      <w:sz w:val="18"/>
    </w:rPr>
  </w:style>
  <w:style w:type="paragraph" w:styleId="6">
    <w:name w:val="heading 6"/>
    <w:basedOn w:val="a"/>
    <w:next w:val="a"/>
    <w:link w:val="60"/>
    <w:qFormat/>
    <w:rsid w:val="00FB20F6"/>
    <w:pPr>
      <w:tabs>
        <w:tab w:val="left" w:pos="0"/>
      </w:tabs>
      <w:spacing w:before="240" w:after="60"/>
      <w:ind w:left="397" w:hanging="397"/>
      <w:jc w:val="both"/>
      <w:outlineLvl w:val="5"/>
    </w:pPr>
    <w:rPr>
      <w:rFonts w:cs="Times New Roman"/>
      <w:b/>
      <w:bCs/>
      <w:sz w:val="22"/>
      <w:szCs w:val="22"/>
    </w:rPr>
  </w:style>
  <w:style w:type="paragraph" w:styleId="8">
    <w:name w:val="heading 8"/>
    <w:basedOn w:val="a"/>
    <w:next w:val="a"/>
    <w:link w:val="80"/>
    <w:qFormat/>
    <w:rsid w:val="00FB20F6"/>
    <w:pPr>
      <w:spacing w:before="240" w:after="60"/>
      <w:outlineLvl w:val="7"/>
    </w:pPr>
    <w:rPr>
      <w:rFonts w:cs="Times New Roman"/>
      <w:i/>
      <w:iCs/>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פיסקת רשימה1"/>
    <w:basedOn w:val="a"/>
    <w:link w:val="ListParagraphChar"/>
    <w:qFormat/>
    <w:rsid w:val="00FB20F6"/>
    <w:pPr>
      <w:spacing w:after="200" w:line="276" w:lineRule="auto"/>
      <w:ind w:left="720"/>
      <w:contextualSpacing/>
    </w:pPr>
    <w:rPr>
      <w:rFonts w:ascii="Calibri" w:hAnsi="Calibri" w:cs="Arial"/>
      <w:sz w:val="22"/>
      <w:szCs w:val="22"/>
    </w:rPr>
  </w:style>
  <w:style w:type="character" w:customStyle="1" w:styleId="ListParagraphChar">
    <w:name w:val="List Paragraph Char"/>
    <w:link w:val="11"/>
    <w:locked/>
    <w:rsid w:val="00FB20F6"/>
    <w:rPr>
      <w:rFonts w:ascii="Calibri" w:hAnsi="Calibri" w:cs="Arial"/>
      <w:sz w:val="22"/>
      <w:szCs w:val="22"/>
    </w:rPr>
  </w:style>
  <w:style w:type="character" w:customStyle="1" w:styleId="10">
    <w:name w:val="כותרת 1 תו"/>
    <w:link w:val="1"/>
    <w:rsid w:val="00FB20F6"/>
    <w:rPr>
      <w:rFonts w:cs="David"/>
      <w:sz w:val="18"/>
      <w:szCs w:val="24"/>
    </w:rPr>
  </w:style>
  <w:style w:type="character" w:customStyle="1" w:styleId="21">
    <w:name w:val="כותרת 2 תו"/>
    <w:basedOn w:val="a1"/>
    <w:link w:val="20"/>
    <w:rsid w:val="00FB20F6"/>
    <w:rPr>
      <w:rFonts w:cs="David"/>
      <w:sz w:val="18"/>
      <w:szCs w:val="24"/>
    </w:rPr>
  </w:style>
  <w:style w:type="character" w:customStyle="1" w:styleId="31">
    <w:name w:val="כותרת 3 תו"/>
    <w:basedOn w:val="a1"/>
    <w:link w:val="30"/>
    <w:rsid w:val="00FB20F6"/>
    <w:rPr>
      <w:rFonts w:cs="David"/>
      <w:sz w:val="18"/>
      <w:szCs w:val="24"/>
    </w:rPr>
  </w:style>
  <w:style w:type="paragraph" w:styleId="a0">
    <w:name w:val="Normal Indent"/>
    <w:basedOn w:val="a"/>
    <w:unhideWhenUsed/>
    <w:rsid w:val="00FB20F6"/>
    <w:pPr>
      <w:ind w:left="720"/>
    </w:pPr>
  </w:style>
  <w:style w:type="character" w:customStyle="1" w:styleId="60">
    <w:name w:val="כותרת 6 תו"/>
    <w:basedOn w:val="a1"/>
    <w:link w:val="6"/>
    <w:rsid w:val="00FB20F6"/>
    <w:rPr>
      <w:b/>
      <w:bCs/>
      <w:sz w:val="22"/>
      <w:szCs w:val="22"/>
    </w:rPr>
  </w:style>
  <w:style w:type="character" w:customStyle="1" w:styleId="80">
    <w:name w:val="כותרת 8 תו"/>
    <w:basedOn w:val="a1"/>
    <w:link w:val="8"/>
    <w:rsid w:val="00FB20F6"/>
    <w:rPr>
      <w:i/>
      <w:iCs/>
      <w:sz w:val="24"/>
      <w:szCs w:val="24"/>
    </w:rPr>
  </w:style>
  <w:style w:type="paragraph" w:customStyle="1" w:styleId="12">
    <w:name w:val="פנימי1"/>
    <w:basedOn w:val="a"/>
    <w:link w:val="13"/>
    <w:rsid w:val="000118BE"/>
    <w:pPr>
      <w:tabs>
        <w:tab w:val="left" w:pos="397"/>
        <w:tab w:val="left" w:pos="794"/>
      </w:tabs>
      <w:bidi/>
      <w:ind w:left="794" w:hanging="794"/>
      <w:jc w:val="both"/>
    </w:pPr>
    <w:rPr>
      <w:sz w:val="24"/>
    </w:rPr>
  </w:style>
  <w:style w:type="character" w:customStyle="1" w:styleId="13">
    <w:name w:val="פנימי1 תו"/>
    <w:link w:val="12"/>
    <w:rsid w:val="000118BE"/>
    <w:rPr>
      <w:rFonts w:cs="David"/>
      <w:sz w:val="24"/>
      <w:szCs w:val="24"/>
    </w:rPr>
  </w:style>
  <w:style w:type="paragraph" w:customStyle="1" w:styleId="22">
    <w:name w:val="פנימי2"/>
    <w:basedOn w:val="a"/>
    <w:rsid w:val="000118BE"/>
    <w:pPr>
      <w:tabs>
        <w:tab w:val="left" w:pos="0"/>
        <w:tab w:val="left" w:pos="397"/>
        <w:tab w:val="left" w:pos="794"/>
        <w:tab w:val="left" w:pos="1191"/>
      </w:tabs>
      <w:bidi/>
      <w:ind w:left="1191" w:hanging="1191"/>
      <w:jc w:val="both"/>
    </w:pPr>
    <w:rPr>
      <w:sz w:val="24"/>
    </w:rPr>
  </w:style>
  <w:style w:type="paragraph" w:styleId="a4">
    <w:name w:val="header"/>
    <w:basedOn w:val="22"/>
    <w:link w:val="a5"/>
    <w:rsid w:val="000118BE"/>
    <w:pPr>
      <w:tabs>
        <w:tab w:val="center" w:pos="4252"/>
        <w:tab w:val="right" w:pos="8504"/>
      </w:tabs>
    </w:pPr>
  </w:style>
  <w:style w:type="character" w:customStyle="1" w:styleId="a5">
    <w:name w:val="כותרת עליונה תו"/>
    <w:basedOn w:val="a1"/>
    <w:link w:val="a4"/>
    <w:rsid w:val="000118BE"/>
    <w:rPr>
      <w:rFonts w:cs="David"/>
      <w:sz w:val="24"/>
      <w:szCs w:val="24"/>
    </w:rPr>
  </w:style>
  <w:style w:type="character" w:styleId="a6">
    <w:name w:val="page number"/>
    <w:rsid w:val="000118BE"/>
    <w:rPr>
      <w:noProof w:val="0"/>
      <w:lang w:val="en-GB"/>
    </w:rPr>
  </w:style>
  <w:style w:type="paragraph" w:customStyle="1" w:styleId="110">
    <w:name w:val="כותרת 11"/>
    <w:basedOn w:val="a"/>
    <w:rsid w:val="000118BE"/>
    <w:pPr>
      <w:tabs>
        <w:tab w:val="left" w:pos="0"/>
      </w:tabs>
      <w:bidi/>
      <w:jc w:val="center"/>
    </w:pPr>
    <w:rPr>
      <w:rFonts w:cs="NarkisTam"/>
      <w:b/>
      <w:bCs/>
      <w:sz w:val="32"/>
      <w:szCs w:val="32"/>
      <w:u w:val="single"/>
    </w:rPr>
  </w:style>
  <w:style w:type="paragraph" w:customStyle="1" w:styleId="210">
    <w:name w:val="כותרת 21"/>
    <w:basedOn w:val="110"/>
    <w:rsid w:val="000118BE"/>
    <w:pPr>
      <w:jc w:val="right"/>
    </w:pPr>
    <w:rPr>
      <w:szCs w:val="28"/>
    </w:rPr>
  </w:style>
  <w:style w:type="paragraph" w:customStyle="1" w:styleId="a7">
    <w:name w:val="ציטטה"/>
    <w:basedOn w:val="22"/>
    <w:rsid w:val="000118BE"/>
    <w:pPr>
      <w:ind w:left="851" w:firstLine="0"/>
    </w:pPr>
    <w:rPr>
      <w:rFonts w:cs="NarkisTam Light"/>
    </w:rPr>
  </w:style>
  <w:style w:type="paragraph" w:customStyle="1" w:styleId="23">
    <w:name w:val="ציטטה2"/>
    <w:basedOn w:val="1"/>
    <w:rsid w:val="000118BE"/>
    <w:pPr>
      <w:tabs>
        <w:tab w:val="left" w:pos="397"/>
        <w:tab w:val="left" w:pos="794"/>
        <w:tab w:val="left" w:pos="1191"/>
      </w:tabs>
      <w:ind w:left="851" w:right="1814" w:hanging="567"/>
      <w:outlineLvl w:val="9"/>
    </w:pPr>
    <w:rPr>
      <w:rFonts w:cs="NarkisTam Light"/>
    </w:rPr>
  </w:style>
  <w:style w:type="paragraph" w:customStyle="1" w:styleId="14">
    <w:name w:val="רגיל1"/>
    <w:rsid w:val="000118BE"/>
    <w:pPr>
      <w:tabs>
        <w:tab w:val="left" w:pos="0"/>
      </w:tabs>
      <w:bidi/>
      <w:ind w:left="397" w:hanging="397"/>
      <w:jc w:val="both"/>
    </w:pPr>
    <w:rPr>
      <w:sz w:val="24"/>
    </w:rPr>
  </w:style>
  <w:style w:type="paragraph" w:styleId="a8">
    <w:name w:val="footer"/>
    <w:basedOn w:val="a"/>
    <w:link w:val="a9"/>
    <w:rsid w:val="000118BE"/>
    <w:pPr>
      <w:tabs>
        <w:tab w:val="center" w:pos="4153"/>
        <w:tab w:val="right" w:pos="8306"/>
      </w:tabs>
    </w:pPr>
  </w:style>
  <w:style w:type="character" w:customStyle="1" w:styleId="a9">
    <w:name w:val="כותרת תחתונה תו"/>
    <w:basedOn w:val="a1"/>
    <w:link w:val="a8"/>
    <w:rsid w:val="000118BE"/>
    <w:rPr>
      <w:rFonts w:cs="David"/>
      <w:szCs w:val="24"/>
    </w:rPr>
  </w:style>
  <w:style w:type="paragraph" w:styleId="aa">
    <w:name w:val="footnote text"/>
    <w:basedOn w:val="a"/>
    <w:link w:val="ab"/>
    <w:semiHidden/>
    <w:rsid w:val="000118BE"/>
    <w:pPr>
      <w:tabs>
        <w:tab w:val="left" w:pos="397"/>
      </w:tabs>
      <w:bidi/>
      <w:ind w:left="397" w:hanging="397"/>
      <w:jc w:val="both"/>
    </w:pPr>
    <w:rPr>
      <w:sz w:val="22"/>
      <w:szCs w:val="22"/>
    </w:rPr>
  </w:style>
  <w:style w:type="character" w:customStyle="1" w:styleId="ab">
    <w:name w:val="טקסט הערת שוליים תו"/>
    <w:basedOn w:val="a1"/>
    <w:link w:val="aa"/>
    <w:semiHidden/>
    <w:rsid w:val="000118BE"/>
    <w:rPr>
      <w:rFonts w:cs="David"/>
      <w:sz w:val="22"/>
      <w:szCs w:val="22"/>
    </w:rPr>
  </w:style>
  <w:style w:type="paragraph" w:styleId="TOC1">
    <w:name w:val="toc 1"/>
    <w:basedOn w:val="a"/>
    <w:next w:val="a"/>
    <w:autoRedefine/>
    <w:uiPriority w:val="39"/>
    <w:qFormat/>
    <w:rsid w:val="00E93A47"/>
    <w:pPr>
      <w:tabs>
        <w:tab w:val="right" w:leader="dot" w:pos="8504"/>
      </w:tabs>
      <w:bidi/>
      <w:ind w:left="360"/>
    </w:pPr>
    <w:rPr>
      <w:rFonts w:ascii="David" w:hAnsi="David"/>
      <w:b/>
      <w:bCs/>
      <w:shadow/>
      <w:noProof/>
      <w:sz w:val="36"/>
      <w:szCs w:val="36"/>
    </w:rPr>
  </w:style>
  <w:style w:type="character" w:styleId="Hyperlink">
    <w:name w:val="Hyperlink"/>
    <w:uiPriority w:val="99"/>
    <w:rsid w:val="000118BE"/>
    <w:rPr>
      <w:color w:val="0000FF"/>
      <w:u w:val="single"/>
    </w:rPr>
  </w:style>
  <w:style w:type="paragraph" w:styleId="TOC2">
    <w:name w:val="toc 2"/>
    <w:basedOn w:val="a"/>
    <w:next w:val="a"/>
    <w:autoRedefine/>
    <w:uiPriority w:val="39"/>
    <w:qFormat/>
    <w:rsid w:val="006D6C45"/>
    <w:pPr>
      <w:tabs>
        <w:tab w:val="left" w:pos="496"/>
        <w:tab w:val="left" w:pos="1440"/>
        <w:tab w:val="right" w:leader="dot" w:pos="8790"/>
      </w:tabs>
      <w:bidi/>
      <w:ind w:left="198"/>
    </w:pPr>
    <w:rPr>
      <w:b/>
      <w:bCs/>
      <w:noProof/>
      <w:sz w:val="28"/>
      <w:szCs w:val="28"/>
    </w:rPr>
  </w:style>
  <w:style w:type="character" w:styleId="ac">
    <w:name w:val="annotation reference"/>
    <w:semiHidden/>
    <w:rsid w:val="000118BE"/>
    <w:rPr>
      <w:rFonts w:cs="Times New Roman"/>
      <w:sz w:val="16"/>
      <w:szCs w:val="16"/>
    </w:rPr>
  </w:style>
  <w:style w:type="paragraph" w:styleId="ad">
    <w:name w:val="annotation text"/>
    <w:basedOn w:val="a"/>
    <w:link w:val="ae"/>
    <w:semiHidden/>
    <w:rsid w:val="000118BE"/>
    <w:pPr>
      <w:tabs>
        <w:tab w:val="left" w:pos="0"/>
      </w:tabs>
      <w:bidi/>
      <w:ind w:left="397" w:hanging="397"/>
      <w:jc w:val="both"/>
    </w:pPr>
    <w:rPr>
      <w:szCs w:val="20"/>
    </w:rPr>
  </w:style>
  <w:style w:type="character" w:customStyle="1" w:styleId="ae">
    <w:name w:val="טקסט הערה תו"/>
    <w:basedOn w:val="a1"/>
    <w:link w:val="ad"/>
    <w:semiHidden/>
    <w:rsid w:val="000118BE"/>
    <w:rPr>
      <w:rFonts w:cs="David"/>
    </w:rPr>
  </w:style>
  <w:style w:type="paragraph" w:styleId="af">
    <w:name w:val="Balloon Text"/>
    <w:basedOn w:val="a"/>
    <w:link w:val="af0"/>
    <w:rsid w:val="000118BE"/>
    <w:rPr>
      <w:rFonts w:ascii="Tahoma" w:hAnsi="Tahoma" w:cs="Tahoma"/>
      <w:sz w:val="16"/>
      <w:szCs w:val="16"/>
    </w:rPr>
  </w:style>
  <w:style w:type="character" w:customStyle="1" w:styleId="af0">
    <w:name w:val="טקסט בלונים תו"/>
    <w:basedOn w:val="a1"/>
    <w:link w:val="af"/>
    <w:rsid w:val="000118BE"/>
    <w:rPr>
      <w:rFonts w:ascii="Tahoma" w:hAnsi="Tahoma" w:cs="Tahoma"/>
      <w:sz w:val="16"/>
      <w:szCs w:val="16"/>
    </w:rPr>
  </w:style>
  <w:style w:type="paragraph" w:customStyle="1" w:styleId="-">
    <w:name w:val="ש-כותרת"/>
    <w:basedOn w:val="a"/>
    <w:autoRedefine/>
    <w:rsid w:val="000118BE"/>
    <w:pPr>
      <w:tabs>
        <w:tab w:val="left" w:pos="7046"/>
      </w:tabs>
      <w:bidi/>
      <w:ind w:left="396" w:hanging="300"/>
      <w:jc w:val="both"/>
    </w:pPr>
    <w:rPr>
      <w:spacing w:val="8"/>
      <w:szCs w:val="20"/>
      <w:lang w:eastAsia="he-IL"/>
    </w:rPr>
  </w:style>
  <w:style w:type="paragraph" w:customStyle="1" w:styleId="ruller4">
    <w:name w:val="ruller4"/>
    <w:basedOn w:val="a"/>
    <w:rsid w:val="000118BE"/>
    <w:pPr>
      <w:overflowPunct w:val="0"/>
      <w:autoSpaceDE w:val="0"/>
      <w:autoSpaceDN w:val="0"/>
      <w:bidi/>
      <w:spacing w:line="360" w:lineRule="auto"/>
      <w:jc w:val="both"/>
    </w:pPr>
    <w:rPr>
      <w:rFonts w:ascii="Arial TUR" w:hAnsi="Arial TUR" w:cs="Arial TUR"/>
      <w:spacing w:val="10"/>
      <w:sz w:val="22"/>
      <w:szCs w:val="22"/>
      <w:lang w:eastAsia="he-IL"/>
    </w:rPr>
  </w:style>
  <w:style w:type="paragraph" w:customStyle="1" w:styleId="24">
    <w:name w:val="סגנון2"/>
    <w:basedOn w:val="a"/>
    <w:autoRedefine/>
    <w:rsid w:val="000118BE"/>
    <w:pPr>
      <w:overflowPunct w:val="0"/>
      <w:autoSpaceDE w:val="0"/>
      <w:autoSpaceDN w:val="0"/>
      <w:bidi/>
      <w:adjustRightInd w:val="0"/>
      <w:ind w:left="396" w:hanging="396"/>
      <w:jc w:val="both"/>
    </w:pPr>
    <w:rPr>
      <w:b/>
      <w:bCs/>
      <w:color w:val="0000FF"/>
      <w:sz w:val="24"/>
    </w:rPr>
  </w:style>
  <w:style w:type="paragraph" w:customStyle="1" w:styleId="15">
    <w:name w:val="סגנון1"/>
    <w:basedOn w:val="a"/>
    <w:autoRedefine/>
    <w:rsid w:val="000118BE"/>
    <w:pPr>
      <w:tabs>
        <w:tab w:val="left" w:pos="8640"/>
      </w:tabs>
      <w:bidi/>
      <w:ind w:left="396" w:hanging="296"/>
      <w:jc w:val="both"/>
    </w:pPr>
    <w:rPr>
      <w:b/>
      <w:bCs/>
      <w:sz w:val="24"/>
    </w:rPr>
  </w:style>
  <w:style w:type="paragraph" w:styleId="TOC3">
    <w:name w:val="toc 3"/>
    <w:basedOn w:val="a"/>
    <w:next w:val="a"/>
    <w:autoRedefine/>
    <w:uiPriority w:val="39"/>
    <w:qFormat/>
    <w:rsid w:val="00A8553B"/>
    <w:pPr>
      <w:tabs>
        <w:tab w:val="left" w:pos="1920"/>
        <w:tab w:val="right" w:leader="dot" w:pos="8786"/>
      </w:tabs>
      <w:bidi/>
      <w:spacing w:line="360" w:lineRule="auto"/>
      <w:ind w:left="423"/>
      <w:jc w:val="both"/>
    </w:pPr>
    <w:rPr>
      <w:rFonts w:ascii="David" w:hAnsi="David"/>
      <w:b/>
      <w:bCs/>
      <w:noProof/>
    </w:rPr>
  </w:style>
  <w:style w:type="paragraph" w:styleId="TOC4">
    <w:name w:val="toc 4"/>
    <w:basedOn w:val="a"/>
    <w:next w:val="a"/>
    <w:autoRedefine/>
    <w:uiPriority w:val="39"/>
    <w:rsid w:val="000118BE"/>
    <w:pPr>
      <w:bidi/>
      <w:ind w:left="720"/>
    </w:pPr>
    <w:rPr>
      <w:rFonts w:cs="Times New Roman"/>
      <w:sz w:val="24"/>
    </w:rPr>
  </w:style>
  <w:style w:type="paragraph" w:styleId="TOC5">
    <w:name w:val="toc 5"/>
    <w:basedOn w:val="a"/>
    <w:next w:val="a"/>
    <w:autoRedefine/>
    <w:uiPriority w:val="39"/>
    <w:rsid w:val="000118BE"/>
    <w:pPr>
      <w:bidi/>
      <w:ind w:left="960"/>
    </w:pPr>
    <w:rPr>
      <w:rFonts w:cs="Times New Roman"/>
      <w:sz w:val="24"/>
    </w:rPr>
  </w:style>
  <w:style w:type="paragraph" w:styleId="TOC6">
    <w:name w:val="toc 6"/>
    <w:basedOn w:val="a"/>
    <w:next w:val="a"/>
    <w:autoRedefine/>
    <w:uiPriority w:val="39"/>
    <w:rsid w:val="000118BE"/>
    <w:pPr>
      <w:bidi/>
      <w:ind w:left="1200"/>
    </w:pPr>
    <w:rPr>
      <w:rFonts w:cs="Times New Roman"/>
      <w:sz w:val="24"/>
    </w:rPr>
  </w:style>
  <w:style w:type="paragraph" w:styleId="TOC7">
    <w:name w:val="toc 7"/>
    <w:basedOn w:val="a"/>
    <w:next w:val="a"/>
    <w:autoRedefine/>
    <w:uiPriority w:val="39"/>
    <w:rsid w:val="000118BE"/>
    <w:pPr>
      <w:bidi/>
      <w:ind w:left="1440"/>
    </w:pPr>
    <w:rPr>
      <w:rFonts w:cs="Times New Roman"/>
      <w:sz w:val="24"/>
    </w:rPr>
  </w:style>
  <w:style w:type="paragraph" w:styleId="TOC8">
    <w:name w:val="toc 8"/>
    <w:basedOn w:val="a"/>
    <w:next w:val="a"/>
    <w:autoRedefine/>
    <w:uiPriority w:val="39"/>
    <w:rsid w:val="000118BE"/>
    <w:pPr>
      <w:bidi/>
      <w:ind w:left="1680"/>
    </w:pPr>
    <w:rPr>
      <w:rFonts w:cs="Times New Roman"/>
      <w:sz w:val="24"/>
    </w:rPr>
  </w:style>
  <w:style w:type="paragraph" w:styleId="TOC9">
    <w:name w:val="toc 9"/>
    <w:basedOn w:val="a"/>
    <w:next w:val="a"/>
    <w:autoRedefine/>
    <w:uiPriority w:val="39"/>
    <w:rsid w:val="000118BE"/>
    <w:pPr>
      <w:bidi/>
      <w:ind w:left="1920"/>
    </w:pPr>
    <w:rPr>
      <w:rFonts w:cs="Times New Roman"/>
      <w:sz w:val="24"/>
    </w:rPr>
  </w:style>
  <w:style w:type="paragraph" w:styleId="NormalWeb">
    <w:name w:val="Normal (Web)"/>
    <w:basedOn w:val="a"/>
    <w:rsid w:val="000118BE"/>
    <w:pPr>
      <w:spacing w:before="100" w:beforeAutospacing="1" w:after="100" w:afterAutospacing="1"/>
    </w:pPr>
    <w:rPr>
      <w:rFonts w:ascii="Arial" w:hAnsi="Arial" w:cs="Arial"/>
      <w:sz w:val="18"/>
      <w:szCs w:val="18"/>
    </w:rPr>
  </w:style>
  <w:style w:type="paragraph" w:customStyle="1" w:styleId="af1">
    <w:name w:val="כללי"/>
    <w:basedOn w:val="a"/>
    <w:rsid w:val="000118BE"/>
    <w:pPr>
      <w:overflowPunct w:val="0"/>
      <w:autoSpaceDE w:val="0"/>
      <w:autoSpaceDN w:val="0"/>
      <w:bidi/>
      <w:adjustRightInd w:val="0"/>
      <w:spacing w:after="240" w:line="280" w:lineRule="atLeast"/>
      <w:ind w:firstLine="284"/>
      <w:jc w:val="both"/>
    </w:pPr>
    <w:rPr>
      <w:rFonts w:cs="FrankRuehl"/>
      <w:lang w:eastAsia="he-IL"/>
    </w:rPr>
  </w:style>
  <w:style w:type="paragraph" w:styleId="25">
    <w:name w:val="Body Text Indent 2"/>
    <w:basedOn w:val="a"/>
    <w:link w:val="26"/>
    <w:rsid w:val="000118BE"/>
    <w:pPr>
      <w:tabs>
        <w:tab w:val="left" w:pos="0"/>
      </w:tabs>
      <w:bidi/>
      <w:spacing w:after="120" w:line="480" w:lineRule="auto"/>
      <w:ind w:left="283" w:hanging="397"/>
      <w:jc w:val="both"/>
    </w:pPr>
    <w:rPr>
      <w:sz w:val="24"/>
    </w:rPr>
  </w:style>
  <w:style w:type="character" w:customStyle="1" w:styleId="26">
    <w:name w:val="כניסה בגוף טקסט 2 תו"/>
    <w:basedOn w:val="a1"/>
    <w:link w:val="25"/>
    <w:rsid w:val="000118BE"/>
    <w:rPr>
      <w:rFonts w:cs="David"/>
      <w:sz w:val="24"/>
      <w:szCs w:val="24"/>
    </w:rPr>
  </w:style>
  <w:style w:type="paragraph" w:customStyle="1" w:styleId="TableBlock">
    <w:name w:val="Table Block"/>
    <w:basedOn w:val="a"/>
    <w:rsid w:val="000118BE"/>
    <w:pPr>
      <w:keepLines/>
      <w:widowControl w:val="0"/>
      <w:tabs>
        <w:tab w:val="left" w:pos="624"/>
        <w:tab w:val="left" w:pos="1247"/>
      </w:tabs>
      <w:autoSpaceDE w:val="0"/>
      <w:autoSpaceDN w:val="0"/>
      <w:bidi/>
      <w:adjustRightInd w:val="0"/>
      <w:snapToGrid w:val="0"/>
      <w:spacing w:line="360" w:lineRule="auto"/>
      <w:jc w:val="both"/>
      <w:textAlignment w:val="center"/>
    </w:pPr>
    <w:rPr>
      <w:rFonts w:ascii="Arial" w:eastAsia="Arial Unicode MS" w:hAnsi="Arial" w:cs="Arial Unicode MS"/>
      <w:color w:val="000000"/>
      <w:szCs w:val="26"/>
      <w:lang w:eastAsia="ja-JP"/>
    </w:rPr>
  </w:style>
  <w:style w:type="character" w:styleId="FollowedHyperlink">
    <w:name w:val="FollowedHyperlink"/>
    <w:rsid w:val="000118BE"/>
    <w:rPr>
      <w:color w:val="800080"/>
      <w:u w:val="single"/>
    </w:rPr>
  </w:style>
  <w:style w:type="character" w:customStyle="1" w:styleId="default">
    <w:name w:val="default"/>
    <w:rsid w:val="000118BE"/>
    <w:rPr>
      <w:rFonts w:ascii="Times New Roman" w:hAnsi="Times New Roman" w:cs="Times New Roman"/>
      <w:sz w:val="26"/>
      <w:szCs w:val="26"/>
    </w:rPr>
  </w:style>
  <w:style w:type="paragraph" w:customStyle="1" w:styleId="P00">
    <w:name w:val="P00"/>
    <w:rsid w:val="000118BE"/>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paragraph" w:styleId="32">
    <w:name w:val="Body Text Indent 3"/>
    <w:basedOn w:val="a"/>
    <w:link w:val="33"/>
    <w:rsid w:val="000118BE"/>
    <w:pPr>
      <w:spacing w:after="120"/>
      <w:ind w:left="283"/>
    </w:pPr>
    <w:rPr>
      <w:sz w:val="16"/>
      <w:szCs w:val="16"/>
    </w:rPr>
  </w:style>
  <w:style w:type="character" w:customStyle="1" w:styleId="33">
    <w:name w:val="כניסה בגוף טקסט 3 תו"/>
    <w:basedOn w:val="a1"/>
    <w:link w:val="32"/>
    <w:rsid w:val="000118BE"/>
    <w:rPr>
      <w:rFonts w:cs="David"/>
      <w:sz w:val="16"/>
      <w:szCs w:val="16"/>
    </w:rPr>
  </w:style>
  <w:style w:type="paragraph" w:customStyle="1" w:styleId="34">
    <w:name w:val="סגנון3"/>
    <w:basedOn w:val="1"/>
    <w:rsid w:val="000118BE"/>
    <w:rPr>
      <w:i/>
      <w:iCs/>
      <w:shadow/>
      <w:sz w:val="38"/>
      <w:szCs w:val="32"/>
    </w:rPr>
  </w:style>
  <w:style w:type="paragraph" w:customStyle="1" w:styleId="40">
    <w:name w:val="סגנון4"/>
    <w:basedOn w:val="TOC1"/>
    <w:next w:val="20"/>
    <w:rsid w:val="000118BE"/>
    <w:rPr>
      <w:rFonts w:ascii="Times New Roman" w:hAnsi="Times New Roman"/>
      <w:b w:val="0"/>
      <w:bCs w:val="0"/>
      <w:i/>
      <w:iCs/>
      <w:shadow w:val="0"/>
      <w:sz w:val="30"/>
      <w:szCs w:val="28"/>
    </w:rPr>
  </w:style>
  <w:style w:type="paragraph" w:customStyle="1" w:styleId="5">
    <w:name w:val="סגנון5"/>
    <w:basedOn w:val="a"/>
    <w:next w:val="30"/>
    <w:rsid w:val="000118BE"/>
    <w:pPr>
      <w:bidi/>
      <w:jc w:val="both"/>
    </w:pPr>
    <w:rPr>
      <w:rFonts w:ascii="Arial" w:hAnsi="Arial"/>
      <w:b/>
      <w:bCs/>
      <w:i/>
      <w:iCs/>
      <w:shadow/>
      <w:noProof/>
      <w:color w:val="FF0000"/>
      <w:sz w:val="24"/>
    </w:rPr>
  </w:style>
  <w:style w:type="character" w:customStyle="1" w:styleId="apple-style-span">
    <w:name w:val="apple-style-span"/>
    <w:basedOn w:val="a1"/>
    <w:rsid w:val="000118BE"/>
  </w:style>
  <w:style w:type="character" w:styleId="af2">
    <w:name w:val="footnote reference"/>
    <w:semiHidden/>
    <w:rsid w:val="000118BE"/>
    <w:rPr>
      <w:vertAlign w:val="superscript"/>
    </w:rPr>
  </w:style>
  <w:style w:type="paragraph" w:customStyle="1" w:styleId="27">
    <w:name w:val="פיסקת רשימה2"/>
    <w:basedOn w:val="a"/>
    <w:qFormat/>
    <w:rsid w:val="000118BE"/>
    <w:pPr>
      <w:bidi/>
      <w:spacing w:after="200" w:line="276" w:lineRule="auto"/>
      <w:ind w:left="720"/>
      <w:contextualSpacing/>
    </w:pPr>
    <w:rPr>
      <w:rFonts w:ascii="Calibri" w:hAnsi="Calibri" w:cs="Arial"/>
      <w:sz w:val="22"/>
      <w:szCs w:val="22"/>
    </w:rPr>
  </w:style>
  <w:style w:type="character" w:customStyle="1" w:styleId="af3">
    <w:name w:val="פיסקת רשימה תו"/>
    <w:locked/>
    <w:rsid w:val="000118BE"/>
    <w:rPr>
      <w:rFonts w:ascii="Calibri" w:hAnsi="Calibri" w:cs="Arial"/>
      <w:sz w:val="22"/>
      <w:szCs w:val="22"/>
      <w:lang w:val="en-US" w:eastAsia="en-US" w:bidi="he-IL"/>
    </w:rPr>
  </w:style>
  <w:style w:type="paragraph" w:customStyle="1" w:styleId="af4">
    <w:name w:val="פסקה ראשונה"/>
    <w:basedOn w:val="a"/>
    <w:link w:val="af5"/>
    <w:rsid w:val="000118BE"/>
    <w:pPr>
      <w:tabs>
        <w:tab w:val="num" w:pos="360"/>
        <w:tab w:val="left" w:pos="1218"/>
      </w:tabs>
      <w:bidi/>
      <w:spacing w:after="200" w:line="360" w:lineRule="auto"/>
      <w:ind w:left="651" w:right="426"/>
      <w:jc w:val="both"/>
    </w:pPr>
    <w:rPr>
      <w:rFonts w:ascii="Calibri" w:hAnsi="Calibri" w:cs="Times New Roman"/>
      <w:sz w:val="24"/>
    </w:rPr>
  </w:style>
  <w:style w:type="character" w:customStyle="1" w:styleId="af5">
    <w:name w:val="פסקה ראשונה תו"/>
    <w:link w:val="af4"/>
    <w:locked/>
    <w:rsid w:val="000118BE"/>
    <w:rPr>
      <w:rFonts w:ascii="Calibri" w:hAnsi="Calibri"/>
      <w:sz w:val="24"/>
      <w:szCs w:val="24"/>
    </w:rPr>
  </w:style>
  <w:style w:type="paragraph" w:customStyle="1" w:styleId="16">
    <w:name w:val="סגנון 1"/>
    <w:basedOn w:val="a"/>
    <w:link w:val="17"/>
    <w:qFormat/>
    <w:rsid w:val="000118BE"/>
    <w:pPr>
      <w:bidi/>
      <w:spacing w:line="360" w:lineRule="auto"/>
      <w:jc w:val="both"/>
    </w:pPr>
    <w:rPr>
      <w:rFonts w:ascii="David" w:hAnsi="David" w:cs="Narkisim"/>
      <w:b/>
      <w:bCs/>
      <w:i/>
      <w:iCs/>
      <w:shadow/>
      <w:sz w:val="42"/>
      <w:szCs w:val="36"/>
      <w:u w:val="single"/>
    </w:rPr>
  </w:style>
  <w:style w:type="paragraph" w:customStyle="1" w:styleId="2">
    <w:name w:val="סגנון 2"/>
    <w:basedOn w:val="a"/>
    <w:link w:val="28"/>
    <w:qFormat/>
    <w:rsid w:val="000118BE"/>
    <w:pPr>
      <w:numPr>
        <w:numId w:val="1"/>
      </w:numPr>
      <w:bidi/>
      <w:spacing w:line="360" w:lineRule="auto"/>
      <w:ind w:left="0" w:firstLine="0"/>
      <w:jc w:val="both"/>
      <w:outlineLvl w:val="1"/>
    </w:pPr>
    <w:rPr>
      <w:rFonts w:ascii="David" w:hAnsi="David"/>
      <w:b/>
      <w:bCs/>
      <w:sz w:val="36"/>
      <w:szCs w:val="30"/>
      <w:u w:val="single"/>
    </w:rPr>
  </w:style>
  <w:style w:type="character" w:customStyle="1" w:styleId="17">
    <w:name w:val="סגנון 1 תו"/>
    <w:link w:val="16"/>
    <w:rsid w:val="000118BE"/>
    <w:rPr>
      <w:rFonts w:ascii="David" w:hAnsi="David" w:cs="Narkisim"/>
      <w:b/>
      <w:bCs/>
      <w:i/>
      <w:iCs/>
      <w:shadow/>
      <w:sz w:val="42"/>
      <w:szCs w:val="36"/>
      <w:u w:val="single"/>
    </w:rPr>
  </w:style>
  <w:style w:type="paragraph" w:customStyle="1" w:styleId="3">
    <w:name w:val="סגנון 3"/>
    <w:basedOn w:val="a"/>
    <w:link w:val="35"/>
    <w:qFormat/>
    <w:rsid w:val="000118BE"/>
    <w:pPr>
      <w:numPr>
        <w:numId w:val="2"/>
      </w:numPr>
      <w:bidi/>
      <w:spacing w:line="360" w:lineRule="auto"/>
      <w:jc w:val="both"/>
      <w:outlineLvl w:val="1"/>
    </w:pPr>
    <w:rPr>
      <w:rFonts w:ascii="David" w:hAnsi="David"/>
      <w:b/>
      <w:bCs/>
      <w:sz w:val="36"/>
      <w:szCs w:val="30"/>
      <w:u w:val="single"/>
    </w:rPr>
  </w:style>
  <w:style w:type="character" w:customStyle="1" w:styleId="28">
    <w:name w:val="סגנון 2 תו"/>
    <w:link w:val="2"/>
    <w:rsid w:val="000118BE"/>
    <w:rPr>
      <w:rFonts w:ascii="David" w:hAnsi="David" w:cs="David"/>
      <w:b/>
      <w:bCs/>
      <w:sz w:val="36"/>
      <w:szCs w:val="30"/>
      <w:u w:val="single"/>
    </w:rPr>
  </w:style>
  <w:style w:type="paragraph" w:customStyle="1" w:styleId="4">
    <w:name w:val="סגנון 4"/>
    <w:basedOn w:val="a"/>
    <w:link w:val="41"/>
    <w:qFormat/>
    <w:rsid w:val="000118BE"/>
    <w:pPr>
      <w:numPr>
        <w:numId w:val="3"/>
      </w:numPr>
      <w:bidi/>
      <w:spacing w:line="360" w:lineRule="auto"/>
      <w:jc w:val="both"/>
      <w:outlineLvl w:val="1"/>
    </w:pPr>
    <w:rPr>
      <w:rFonts w:ascii="David" w:hAnsi="David"/>
      <w:b/>
      <w:bCs/>
      <w:sz w:val="36"/>
      <w:szCs w:val="30"/>
      <w:u w:val="single"/>
    </w:rPr>
  </w:style>
  <w:style w:type="character" w:customStyle="1" w:styleId="35">
    <w:name w:val="סגנון 3 תו"/>
    <w:link w:val="3"/>
    <w:rsid w:val="000118BE"/>
    <w:rPr>
      <w:rFonts w:ascii="David" w:hAnsi="David" w:cs="David"/>
      <w:b/>
      <w:bCs/>
      <w:sz w:val="36"/>
      <w:szCs w:val="30"/>
      <w:u w:val="single"/>
    </w:rPr>
  </w:style>
  <w:style w:type="paragraph" w:styleId="af6">
    <w:name w:val="TOC Heading"/>
    <w:basedOn w:val="1"/>
    <w:next w:val="a"/>
    <w:uiPriority w:val="39"/>
    <w:semiHidden/>
    <w:unhideWhenUsed/>
    <w:qFormat/>
    <w:rsid w:val="000118BE"/>
    <w:pPr>
      <w:keepNext/>
      <w:keepLines/>
      <w:tabs>
        <w:tab w:val="clear" w:pos="0"/>
      </w:tabs>
      <w:spacing w:before="480" w:line="276" w:lineRule="auto"/>
      <w:ind w:left="0" w:firstLine="0"/>
      <w:jc w:val="left"/>
      <w:outlineLvl w:val="9"/>
    </w:pPr>
    <w:rPr>
      <w:rFonts w:ascii="Cambria" w:hAnsi="Cambria" w:cs="Times New Roman"/>
      <w:b/>
      <w:bCs/>
      <w:color w:val="365F91"/>
      <w:sz w:val="28"/>
      <w:szCs w:val="28"/>
      <w:rtl/>
      <w:cs/>
    </w:rPr>
  </w:style>
  <w:style w:type="character" w:customStyle="1" w:styleId="41">
    <w:name w:val="סגנון 4 תו"/>
    <w:link w:val="4"/>
    <w:rsid w:val="000118BE"/>
    <w:rPr>
      <w:rFonts w:ascii="David" w:hAnsi="David" w:cs="David"/>
      <w:b/>
      <w:bCs/>
      <w:sz w:val="36"/>
      <w:szCs w:val="30"/>
      <w:u w:val="single"/>
    </w:rPr>
  </w:style>
  <w:style w:type="paragraph" w:customStyle="1" w:styleId="18">
    <w:name w:val="נועה 1"/>
    <w:basedOn w:val="1"/>
    <w:next w:val="16"/>
    <w:link w:val="19"/>
    <w:qFormat/>
    <w:rsid w:val="000118BE"/>
    <w:rPr>
      <w:rFonts w:cs="Narkisim"/>
      <w:bCs/>
      <w:iCs/>
      <w:szCs w:val="36"/>
      <w:u w:val="single"/>
    </w:rPr>
  </w:style>
  <w:style w:type="paragraph" w:customStyle="1" w:styleId="29">
    <w:name w:val="נועה 2"/>
    <w:basedOn w:val="2"/>
    <w:link w:val="2a"/>
    <w:qFormat/>
    <w:rsid w:val="000118BE"/>
    <w:pPr>
      <w:spacing w:before="240" w:after="240" w:line="240" w:lineRule="auto"/>
    </w:pPr>
  </w:style>
  <w:style w:type="character" w:customStyle="1" w:styleId="19">
    <w:name w:val="נועה 1 תו"/>
    <w:basedOn w:val="10"/>
    <w:link w:val="18"/>
    <w:rsid w:val="000118BE"/>
    <w:rPr>
      <w:rFonts w:cs="Narkisim"/>
      <w:bCs/>
      <w:iCs/>
      <w:sz w:val="18"/>
      <w:szCs w:val="36"/>
      <w:u w:val="single"/>
    </w:rPr>
  </w:style>
  <w:style w:type="character" w:customStyle="1" w:styleId="2a">
    <w:name w:val="נועה 2 תו"/>
    <w:basedOn w:val="28"/>
    <w:link w:val="29"/>
    <w:rsid w:val="000118BE"/>
    <w:rPr>
      <w:rFonts w:ascii="David" w:hAnsi="David" w:cs="David"/>
      <w:b/>
      <w:bCs/>
      <w:sz w:val="36"/>
      <w:szCs w:val="30"/>
      <w:u w:val="single"/>
    </w:rPr>
  </w:style>
  <w:style w:type="paragraph" w:styleId="af7">
    <w:name w:val="List Paragraph"/>
    <w:basedOn w:val="a"/>
    <w:uiPriority w:val="34"/>
    <w:qFormat/>
    <w:rsid w:val="00CF2FD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18BE"/>
    <w:rPr>
      <w:rFonts w:cs="David"/>
      <w:szCs w:val="24"/>
    </w:rPr>
  </w:style>
  <w:style w:type="paragraph" w:styleId="1">
    <w:name w:val="heading 1"/>
    <w:basedOn w:val="a"/>
    <w:link w:val="10"/>
    <w:qFormat/>
    <w:rsid w:val="00FB20F6"/>
    <w:pPr>
      <w:tabs>
        <w:tab w:val="left" w:pos="0"/>
      </w:tabs>
      <w:ind w:left="397" w:hanging="397"/>
      <w:jc w:val="both"/>
      <w:outlineLvl w:val="0"/>
    </w:pPr>
    <w:rPr>
      <w:sz w:val="18"/>
    </w:rPr>
  </w:style>
  <w:style w:type="paragraph" w:styleId="20">
    <w:name w:val="heading 2"/>
    <w:basedOn w:val="a"/>
    <w:next w:val="a"/>
    <w:link w:val="21"/>
    <w:qFormat/>
    <w:rsid w:val="00FB20F6"/>
    <w:pPr>
      <w:tabs>
        <w:tab w:val="left" w:pos="397"/>
        <w:tab w:val="left" w:pos="794"/>
      </w:tabs>
      <w:spacing w:before="120"/>
      <w:ind w:left="794" w:hanging="794"/>
      <w:jc w:val="both"/>
      <w:outlineLvl w:val="1"/>
    </w:pPr>
    <w:rPr>
      <w:sz w:val="18"/>
    </w:rPr>
  </w:style>
  <w:style w:type="paragraph" w:styleId="30">
    <w:name w:val="heading 3"/>
    <w:basedOn w:val="a"/>
    <w:next w:val="a0"/>
    <w:link w:val="31"/>
    <w:qFormat/>
    <w:rsid w:val="00FB20F6"/>
    <w:pPr>
      <w:tabs>
        <w:tab w:val="left" w:pos="0"/>
        <w:tab w:val="left" w:pos="397"/>
        <w:tab w:val="left" w:pos="794"/>
        <w:tab w:val="left" w:pos="1191"/>
      </w:tabs>
      <w:ind w:left="360" w:hanging="1191"/>
      <w:jc w:val="both"/>
      <w:outlineLvl w:val="2"/>
    </w:pPr>
    <w:rPr>
      <w:sz w:val="18"/>
    </w:rPr>
  </w:style>
  <w:style w:type="paragraph" w:styleId="6">
    <w:name w:val="heading 6"/>
    <w:basedOn w:val="a"/>
    <w:next w:val="a"/>
    <w:link w:val="60"/>
    <w:qFormat/>
    <w:rsid w:val="00FB20F6"/>
    <w:pPr>
      <w:tabs>
        <w:tab w:val="left" w:pos="0"/>
      </w:tabs>
      <w:spacing w:before="240" w:after="60"/>
      <w:ind w:left="397" w:hanging="397"/>
      <w:jc w:val="both"/>
      <w:outlineLvl w:val="5"/>
    </w:pPr>
    <w:rPr>
      <w:rFonts w:cs="Times New Roman"/>
      <w:b/>
      <w:bCs/>
      <w:sz w:val="22"/>
      <w:szCs w:val="22"/>
    </w:rPr>
  </w:style>
  <w:style w:type="paragraph" w:styleId="8">
    <w:name w:val="heading 8"/>
    <w:basedOn w:val="a"/>
    <w:next w:val="a"/>
    <w:link w:val="80"/>
    <w:qFormat/>
    <w:rsid w:val="00FB20F6"/>
    <w:pPr>
      <w:spacing w:before="240" w:after="60"/>
      <w:outlineLvl w:val="7"/>
    </w:pPr>
    <w:rPr>
      <w:rFonts w:cs="Times New Roman"/>
      <w:i/>
      <w:iCs/>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פיסקת רשימה1"/>
    <w:basedOn w:val="a"/>
    <w:link w:val="ListParagraphChar"/>
    <w:qFormat/>
    <w:rsid w:val="00FB20F6"/>
    <w:pPr>
      <w:spacing w:after="200" w:line="276" w:lineRule="auto"/>
      <w:ind w:left="720"/>
      <w:contextualSpacing/>
    </w:pPr>
    <w:rPr>
      <w:rFonts w:ascii="Calibri" w:hAnsi="Calibri" w:cs="Arial"/>
      <w:sz w:val="22"/>
      <w:szCs w:val="22"/>
    </w:rPr>
  </w:style>
  <w:style w:type="character" w:customStyle="1" w:styleId="ListParagraphChar">
    <w:name w:val="List Paragraph Char"/>
    <w:link w:val="11"/>
    <w:locked/>
    <w:rsid w:val="00FB20F6"/>
    <w:rPr>
      <w:rFonts w:ascii="Calibri" w:hAnsi="Calibri" w:cs="Arial"/>
      <w:sz w:val="22"/>
      <w:szCs w:val="22"/>
    </w:rPr>
  </w:style>
  <w:style w:type="character" w:customStyle="1" w:styleId="10">
    <w:name w:val="כותרת 1 תו"/>
    <w:link w:val="1"/>
    <w:rsid w:val="00FB20F6"/>
    <w:rPr>
      <w:rFonts w:cs="David"/>
      <w:sz w:val="18"/>
      <w:szCs w:val="24"/>
    </w:rPr>
  </w:style>
  <w:style w:type="character" w:customStyle="1" w:styleId="21">
    <w:name w:val="כותרת 2 תו"/>
    <w:basedOn w:val="a1"/>
    <w:link w:val="20"/>
    <w:rsid w:val="00FB20F6"/>
    <w:rPr>
      <w:rFonts w:cs="David"/>
      <w:sz w:val="18"/>
      <w:szCs w:val="24"/>
    </w:rPr>
  </w:style>
  <w:style w:type="character" w:customStyle="1" w:styleId="31">
    <w:name w:val="כותרת 3 תו"/>
    <w:basedOn w:val="a1"/>
    <w:link w:val="30"/>
    <w:rsid w:val="00FB20F6"/>
    <w:rPr>
      <w:rFonts w:cs="David"/>
      <w:sz w:val="18"/>
      <w:szCs w:val="24"/>
    </w:rPr>
  </w:style>
  <w:style w:type="paragraph" w:styleId="a0">
    <w:name w:val="Normal Indent"/>
    <w:basedOn w:val="a"/>
    <w:unhideWhenUsed/>
    <w:rsid w:val="00FB20F6"/>
    <w:pPr>
      <w:ind w:left="720"/>
    </w:pPr>
  </w:style>
  <w:style w:type="character" w:customStyle="1" w:styleId="60">
    <w:name w:val="כותרת 6 תו"/>
    <w:basedOn w:val="a1"/>
    <w:link w:val="6"/>
    <w:rsid w:val="00FB20F6"/>
    <w:rPr>
      <w:b/>
      <w:bCs/>
      <w:sz w:val="22"/>
      <w:szCs w:val="22"/>
    </w:rPr>
  </w:style>
  <w:style w:type="character" w:customStyle="1" w:styleId="80">
    <w:name w:val="כותרת 8 תו"/>
    <w:basedOn w:val="a1"/>
    <w:link w:val="8"/>
    <w:rsid w:val="00FB20F6"/>
    <w:rPr>
      <w:i/>
      <w:iCs/>
      <w:sz w:val="24"/>
      <w:szCs w:val="24"/>
    </w:rPr>
  </w:style>
  <w:style w:type="paragraph" w:customStyle="1" w:styleId="12">
    <w:name w:val="פנימי1"/>
    <w:basedOn w:val="a"/>
    <w:link w:val="13"/>
    <w:rsid w:val="000118BE"/>
    <w:pPr>
      <w:tabs>
        <w:tab w:val="left" w:pos="397"/>
        <w:tab w:val="left" w:pos="794"/>
      </w:tabs>
      <w:bidi/>
      <w:ind w:left="794" w:hanging="794"/>
      <w:jc w:val="both"/>
    </w:pPr>
    <w:rPr>
      <w:sz w:val="24"/>
    </w:rPr>
  </w:style>
  <w:style w:type="character" w:customStyle="1" w:styleId="13">
    <w:name w:val="פנימי1 תו"/>
    <w:link w:val="12"/>
    <w:rsid w:val="000118BE"/>
    <w:rPr>
      <w:rFonts w:cs="David"/>
      <w:sz w:val="24"/>
      <w:szCs w:val="24"/>
    </w:rPr>
  </w:style>
  <w:style w:type="paragraph" w:customStyle="1" w:styleId="22">
    <w:name w:val="פנימי2"/>
    <w:basedOn w:val="a"/>
    <w:rsid w:val="000118BE"/>
    <w:pPr>
      <w:tabs>
        <w:tab w:val="left" w:pos="0"/>
        <w:tab w:val="left" w:pos="397"/>
        <w:tab w:val="left" w:pos="794"/>
        <w:tab w:val="left" w:pos="1191"/>
      </w:tabs>
      <w:bidi/>
      <w:ind w:left="1191" w:hanging="1191"/>
      <w:jc w:val="both"/>
    </w:pPr>
    <w:rPr>
      <w:sz w:val="24"/>
    </w:rPr>
  </w:style>
  <w:style w:type="paragraph" w:styleId="a4">
    <w:name w:val="header"/>
    <w:basedOn w:val="22"/>
    <w:link w:val="a5"/>
    <w:rsid w:val="000118BE"/>
    <w:pPr>
      <w:tabs>
        <w:tab w:val="center" w:pos="4252"/>
        <w:tab w:val="right" w:pos="8504"/>
      </w:tabs>
    </w:pPr>
  </w:style>
  <w:style w:type="character" w:customStyle="1" w:styleId="a5">
    <w:name w:val="כותרת עליונה תו"/>
    <w:basedOn w:val="a1"/>
    <w:link w:val="a4"/>
    <w:rsid w:val="000118BE"/>
    <w:rPr>
      <w:rFonts w:cs="David"/>
      <w:sz w:val="24"/>
      <w:szCs w:val="24"/>
    </w:rPr>
  </w:style>
  <w:style w:type="character" w:styleId="a6">
    <w:name w:val="page number"/>
    <w:rsid w:val="000118BE"/>
    <w:rPr>
      <w:noProof w:val="0"/>
      <w:lang w:val="en-GB"/>
    </w:rPr>
  </w:style>
  <w:style w:type="paragraph" w:customStyle="1" w:styleId="110">
    <w:name w:val="כותרת 11"/>
    <w:basedOn w:val="a"/>
    <w:rsid w:val="000118BE"/>
    <w:pPr>
      <w:tabs>
        <w:tab w:val="left" w:pos="0"/>
      </w:tabs>
      <w:bidi/>
      <w:jc w:val="center"/>
    </w:pPr>
    <w:rPr>
      <w:rFonts w:cs="NarkisTam"/>
      <w:b/>
      <w:bCs/>
      <w:sz w:val="32"/>
      <w:szCs w:val="32"/>
      <w:u w:val="single"/>
    </w:rPr>
  </w:style>
  <w:style w:type="paragraph" w:customStyle="1" w:styleId="210">
    <w:name w:val="כותרת 21"/>
    <w:basedOn w:val="110"/>
    <w:rsid w:val="000118BE"/>
    <w:pPr>
      <w:jc w:val="right"/>
    </w:pPr>
    <w:rPr>
      <w:szCs w:val="28"/>
    </w:rPr>
  </w:style>
  <w:style w:type="paragraph" w:customStyle="1" w:styleId="a7">
    <w:name w:val="ציטטה"/>
    <w:basedOn w:val="22"/>
    <w:rsid w:val="000118BE"/>
    <w:pPr>
      <w:ind w:left="851" w:firstLine="0"/>
    </w:pPr>
    <w:rPr>
      <w:rFonts w:cs="NarkisTam Light"/>
    </w:rPr>
  </w:style>
  <w:style w:type="paragraph" w:customStyle="1" w:styleId="23">
    <w:name w:val="ציטטה2"/>
    <w:basedOn w:val="1"/>
    <w:rsid w:val="000118BE"/>
    <w:pPr>
      <w:tabs>
        <w:tab w:val="left" w:pos="397"/>
        <w:tab w:val="left" w:pos="794"/>
        <w:tab w:val="left" w:pos="1191"/>
      </w:tabs>
      <w:ind w:left="851" w:right="1814" w:hanging="567"/>
      <w:outlineLvl w:val="9"/>
    </w:pPr>
    <w:rPr>
      <w:rFonts w:cs="NarkisTam Light"/>
    </w:rPr>
  </w:style>
  <w:style w:type="paragraph" w:customStyle="1" w:styleId="14">
    <w:name w:val="רגיל1"/>
    <w:rsid w:val="000118BE"/>
    <w:pPr>
      <w:tabs>
        <w:tab w:val="left" w:pos="0"/>
      </w:tabs>
      <w:bidi/>
      <w:ind w:left="397" w:hanging="397"/>
      <w:jc w:val="both"/>
    </w:pPr>
    <w:rPr>
      <w:sz w:val="24"/>
    </w:rPr>
  </w:style>
  <w:style w:type="paragraph" w:styleId="a8">
    <w:name w:val="footer"/>
    <w:basedOn w:val="a"/>
    <w:link w:val="a9"/>
    <w:rsid w:val="000118BE"/>
    <w:pPr>
      <w:tabs>
        <w:tab w:val="center" w:pos="4153"/>
        <w:tab w:val="right" w:pos="8306"/>
      </w:tabs>
    </w:pPr>
  </w:style>
  <w:style w:type="character" w:customStyle="1" w:styleId="a9">
    <w:name w:val="כותרת תחתונה תו"/>
    <w:basedOn w:val="a1"/>
    <w:link w:val="a8"/>
    <w:rsid w:val="000118BE"/>
    <w:rPr>
      <w:rFonts w:cs="David"/>
      <w:szCs w:val="24"/>
    </w:rPr>
  </w:style>
  <w:style w:type="paragraph" w:styleId="aa">
    <w:name w:val="footnote text"/>
    <w:basedOn w:val="a"/>
    <w:link w:val="ab"/>
    <w:semiHidden/>
    <w:rsid w:val="000118BE"/>
    <w:pPr>
      <w:tabs>
        <w:tab w:val="left" w:pos="397"/>
      </w:tabs>
      <w:bidi/>
      <w:ind w:left="397" w:hanging="397"/>
      <w:jc w:val="both"/>
    </w:pPr>
    <w:rPr>
      <w:sz w:val="22"/>
      <w:szCs w:val="22"/>
    </w:rPr>
  </w:style>
  <w:style w:type="character" w:customStyle="1" w:styleId="ab">
    <w:name w:val="טקסט הערת שוליים תו"/>
    <w:basedOn w:val="a1"/>
    <w:link w:val="aa"/>
    <w:semiHidden/>
    <w:rsid w:val="000118BE"/>
    <w:rPr>
      <w:rFonts w:cs="David"/>
      <w:sz w:val="22"/>
      <w:szCs w:val="22"/>
    </w:rPr>
  </w:style>
  <w:style w:type="paragraph" w:styleId="TOC1">
    <w:name w:val="toc 1"/>
    <w:basedOn w:val="a"/>
    <w:next w:val="a"/>
    <w:autoRedefine/>
    <w:uiPriority w:val="39"/>
    <w:qFormat/>
    <w:rsid w:val="00E93A47"/>
    <w:pPr>
      <w:tabs>
        <w:tab w:val="right" w:leader="dot" w:pos="8504"/>
      </w:tabs>
      <w:bidi/>
      <w:ind w:left="360"/>
    </w:pPr>
    <w:rPr>
      <w:rFonts w:ascii="David" w:hAnsi="David"/>
      <w:b/>
      <w:bCs/>
      <w:shadow/>
      <w:noProof/>
      <w:sz w:val="36"/>
      <w:szCs w:val="36"/>
    </w:rPr>
  </w:style>
  <w:style w:type="character" w:styleId="Hyperlink">
    <w:name w:val="Hyperlink"/>
    <w:uiPriority w:val="99"/>
    <w:rsid w:val="000118BE"/>
    <w:rPr>
      <w:color w:val="0000FF"/>
      <w:u w:val="single"/>
    </w:rPr>
  </w:style>
  <w:style w:type="paragraph" w:styleId="TOC2">
    <w:name w:val="toc 2"/>
    <w:basedOn w:val="a"/>
    <w:next w:val="a"/>
    <w:autoRedefine/>
    <w:uiPriority w:val="39"/>
    <w:qFormat/>
    <w:rsid w:val="006D6C45"/>
    <w:pPr>
      <w:tabs>
        <w:tab w:val="left" w:pos="496"/>
        <w:tab w:val="left" w:pos="1440"/>
        <w:tab w:val="right" w:leader="dot" w:pos="8790"/>
      </w:tabs>
      <w:bidi/>
      <w:ind w:left="198"/>
    </w:pPr>
    <w:rPr>
      <w:b/>
      <w:bCs/>
      <w:noProof/>
      <w:sz w:val="28"/>
      <w:szCs w:val="28"/>
    </w:rPr>
  </w:style>
  <w:style w:type="character" w:styleId="ac">
    <w:name w:val="annotation reference"/>
    <w:semiHidden/>
    <w:rsid w:val="000118BE"/>
    <w:rPr>
      <w:rFonts w:cs="Times New Roman"/>
      <w:sz w:val="16"/>
      <w:szCs w:val="16"/>
    </w:rPr>
  </w:style>
  <w:style w:type="paragraph" w:styleId="ad">
    <w:name w:val="annotation text"/>
    <w:basedOn w:val="a"/>
    <w:link w:val="ae"/>
    <w:semiHidden/>
    <w:rsid w:val="000118BE"/>
    <w:pPr>
      <w:tabs>
        <w:tab w:val="left" w:pos="0"/>
      </w:tabs>
      <w:bidi/>
      <w:ind w:left="397" w:hanging="397"/>
      <w:jc w:val="both"/>
    </w:pPr>
    <w:rPr>
      <w:szCs w:val="20"/>
    </w:rPr>
  </w:style>
  <w:style w:type="character" w:customStyle="1" w:styleId="ae">
    <w:name w:val="טקסט הערה תו"/>
    <w:basedOn w:val="a1"/>
    <w:link w:val="ad"/>
    <w:semiHidden/>
    <w:rsid w:val="000118BE"/>
    <w:rPr>
      <w:rFonts w:cs="David"/>
    </w:rPr>
  </w:style>
  <w:style w:type="paragraph" w:styleId="af">
    <w:name w:val="Balloon Text"/>
    <w:basedOn w:val="a"/>
    <w:link w:val="af0"/>
    <w:rsid w:val="000118BE"/>
    <w:rPr>
      <w:rFonts w:ascii="Tahoma" w:hAnsi="Tahoma" w:cs="Tahoma"/>
      <w:sz w:val="16"/>
      <w:szCs w:val="16"/>
    </w:rPr>
  </w:style>
  <w:style w:type="character" w:customStyle="1" w:styleId="af0">
    <w:name w:val="טקסט בלונים תו"/>
    <w:basedOn w:val="a1"/>
    <w:link w:val="af"/>
    <w:rsid w:val="000118BE"/>
    <w:rPr>
      <w:rFonts w:ascii="Tahoma" w:hAnsi="Tahoma" w:cs="Tahoma"/>
      <w:sz w:val="16"/>
      <w:szCs w:val="16"/>
    </w:rPr>
  </w:style>
  <w:style w:type="paragraph" w:customStyle="1" w:styleId="-">
    <w:name w:val="ש-כותרת"/>
    <w:basedOn w:val="a"/>
    <w:autoRedefine/>
    <w:rsid w:val="000118BE"/>
    <w:pPr>
      <w:tabs>
        <w:tab w:val="left" w:pos="7046"/>
      </w:tabs>
      <w:bidi/>
      <w:ind w:left="396" w:hanging="300"/>
      <w:jc w:val="both"/>
    </w:pPr>
    <w:rPr>
      <w:spacing w:val="8"/>
      <w:szCs w:val="20"/>
      <w:lang w:eastAsia="he-IL"/>
    </w:rPr>
  </w:style>
  <w:style w:type="paragraph" w:customStyle="1" w:styleId="ruller4">
    <w:name w:val="ruller4"/>
    <w:basedOn w:val="a"/>
    <w:rsid w:val="000118BE"/>
    <w:pPr>
      <w:overflowPunct w:val="0"/>
      <w:autoSpaceDE w:val="0"/>
      <w:autoSpaceDN w:val="0"/>
      <w:bidi/>
      <w:spacing w:line="360" w:lineRule="auto"/>
      <w:jc w:val="both"/>
    </w:pPr>
    <w:rPr>
      <w:rFonts w:ascii="Arial TUR" w:hAnsi="Arial TUR" w:cs="Arial TUR"/>
      <w:spacing w:val="10"/>
      <w:sz w:val="22"/>
      <w:szCs w:val="22"/>
      <w:lang w:eastAsia="he-IL"/>
    </w:rPr>
  </w:style>
  <w:style w:type="paragraph" w:customStyle="1" w:styleId="24">
    <w:name w:val="סגנון2"/>
    <w:basedOn w:val="a"/>
    <w:autoRedefine/>
    <w:rsid w:val="000118BE"/>
    <w:pPr>
      <w:overflowPunct w:val="0"/>
      <w:autoSpaceDE w:val="0"/>
      <w:autoSpaceDN w:val="0"/>
      <w:bidi/>
      <w:adjustRightInd w:val="0"/>
      <w:ind w:left="396" w:hanging="396"/>
      <w:jc w:val="both"/>
    </w:pPr>
    <w:rPr>
      <w:b/>
      <w:bCs/>
      <w:color w:val="0000FF"/>
      <w:sz w:val="24"/>
    </w:rPr>
  </w:style>
  <w:style w:type="paragraph" w:customStyle="1" w:styleId="15">
    <w:name w:val="סגנון1"/>
    <w:basedOn w:val="a"/>
    <w:autoRedefine/>
    <w:rsid w:val="000118BE"/>
    <w:pPr>
      <w:tabs>
        <w:tab w:val="left" w:pos="8640"/>
      </w:tabs>
      <w:bidi/>
      <w:ind w:left="396" w:hanging="296"/>
      <w:jc w:val="both"/>
    </w:pPr>
    <w:rPr>
      <w:b/>
      <w:bCs/>
      <w:sz w:val="24"/>
    </w:rPr>
  </w:style>
  <w:style w:type="paragraph" w:styleId="TOC3">
    <w:name w:val="toc 3"/>
    <w:basedOn w:val="a"/>
    <w:next w:val="a"/>
    <w:autoRedefine/>
    <w:uiPriority w:val="39"/>
    <w:qFormat/>
    <w:rsid w:val="00A8553B"/>
    <w:pPr>
      <w:tabs>
        <w:tab w:val="left" w:pos="1920"/>
        <w:tab w:val="right" w:leader="dot" w:pos="8786"/>
      </w:tabs>
      <w:bidi/>
      <w:spacing w:line="360" w:lineRule="auto"/>
      <w:ind w:left="423"/>
      <w:jc w:val="both"/>
    </w:pPr>
    <w:rPr>
      <w:rFonts w:ascii="David" w:hAnsi="David"/>
      <w:b/>
      <w:bCs/>
      <w:noProof/>
    </w:rPr>
  </w:style>
  <w:style w:type="paragraph" w:styleId="TOC4">
    <w:name w:val="toc 4"/>
    <w:basedOn w:val="a"/>
    <w:next w:val="a"/>
    <w:autoRedefine/>
    <w:uiPriority w:val="39"/>
    <w:rsid w:val="000118BE"/>
    <w:pPr>
      <w:bidi/>
      <w:ind w:left="720"/>
    </w:pPr>
    <w:rPr>
      <w:rFonts w:cs="Times New Roman"/>
      <w:sz w:val="24"/>
    </w:rPr>
  </w:style>
  <w:style w:type="paragraph" w:styleId="TOC5">
    <w:name w:val="toc 5"/>
    <w:basedOn w:val="a"/>
    <w:next w:val="a"/>
    <w:autoRedefine/>
    <w:uiPriority w:val="39"/>
    <w:rsid w:val="000118BE"/>
    <w:pPr>
      <w:bidi/>
      <w:ind w:left="960"/>
    </w:pPr>
    <w:rPr>
      <w:rFonts w:cs="Times New Roman"/>
      <w:sz w:val="24"/>
    </w:rPr>
  </w:style>
  <w:style w:type="paragraph" w:styleId="TOC6">
    <w:name w:val="toc 6"/>
    <w:basedOn w:val="a"/>
    <w:next w:val="a"/>
    <w:autoRedefine/>
    <w:uiPriority w:val="39"/>
    <w:rsid w:val="000118BE"/>
    <w:pPr>
      <w:bidi/>
      <w:ind w:left="1200"/>
    </w:pPr>
    <w:rPr>
      <w:rFonts w:cs="Times New Roman"/>
      <w:sz w:val="24"/>
    </w:rPr>
  </w:style>
  <w:style w:type="paragraph" w:styleId="TOC7">
    <w:name w:val="toc 7"/>
    <w:basedOn w:val="a"/>
    <w:next w:val="a"/>
    <w:autoRedefine/>
    <w:uiPriority w:val="39"/>
    <w:rsid w:val="000118BE"/>
    <w:pPr>
      <w:bidi/>
      <w:ind w:left="1440"/>
    </w:pPr>
    <w:rPr>
      <w:rFonts w:cs="Times New Roman"/>
      <w:sz w:val="24"/>
    </w:rPr>
  </w:style>
  <w:style w:type="paragraph" w:styleId="TOC8">
    <w:name w:val="toc 8"/>
    <w:basedOn w:val="a"/>
    <w:next w:val="a"/>
    <w:autoRedefine/>
    <w:uiPriority w:val="39"/>
    <w:rsid w:val="000118BE"/>
    <w:pPr>
      <w:bidi/>
      <w:ind w:left="1680"/>
    </w:pPr>
    <w:rPr>
      <w:rFonts w:cs="Times New Roman"/>
      <w:sz w:val="24"/>
    </w:rPr>
  </w:style>
  <w:style w:type="paragraph" w:styleId="TOC9">
    <w:name w:val="toc 9"/>
    <w:basedOn w:val="a"/>
    <w:next w:val="a"/>
    <w:autoRedefine/>
    <w:uiPriority w:val="39"/>
    <w:rsid w:val="000118BE"/>
    <w:pPr>
      <w:bidi/>
      <w:ind w:left="1920"/>
    </w:pPr>
    <w:rPr>
      <w:rFonts w:cs="Times New Roman"/>
      <w:sz w:val="24"/>
    </w:rPr>
  </w:style>
  <w:style w:type="paragraph" w:styleId="NormalWeb">
    <w:name w:val="Normal (Web)"/>
    <w:basedOn w:val="a"/>
    <w:rsid w:val="000118BE"/>
    <w:pPr>
      <w:spacing w:before="100" w:beforeAutospacing="1" w:after="100" w:afterAutospacing="1"/>
    </w:pPr>
    <w:rPr>
      <w:rFonts w:ascii="Arial" w:hAnsi="Arial" w:cs="Arial"/>
      <w:sz w:val="18"/>
      <w:szCs w:val="18"/>
    </w:rPr>
  </w:style>
  <w:style w:type="paragraph" w:customStyle="1" w:styleId="af1">
    <w:name w:val="כללי"/>
    <w:basedOn w:val="a"/>
    <w:rsid w:val="000118BE"/>
    <w:pPr>
      <w:overflowPunct w:val="0"/>
      <w:autoSpaceDE w:val="0"/>
      <w:autoSpaceDN w:val="0"/>
      <w:bidi/>
      <w:adjustRightInd w:val="0"/>
      <w:spacing w:after="240" w:line="280" w:lineRule="atLeast"/>
      <w:ind w:firstLine="284"/>
      <w:jc w:val="both"/>
    </w:pPr>
    <w:rPr>
      <w:rFonts w:cs="FrankRuehl"/>
      <w:lang w:eastAsia="he-IL"/>
    </w:rPr>
  </w:style>
  <w:style w:type="paragraph" w:styleId="25">
    <w:name w:val="Body Text Indent 2"/>
    <w:basedOn w:val="a"/>
    <w:link w:val="26"/>
    <w:rsid w:val="000118BE"/>
    <w:pPr>
      <w:tabs>
        <w:tab w:val="left" w:pos="0"/>
      </w:tabs>
      <w:bidi/>
      <w:spacing w:after="120" w:line="480" w:lineRule="auto"/>
      <w:ind w:left="283" w:hanging="397"/>
      <w:jc w:val="both"/>
    </w:pPr>
    <w:rPr>
      <w:sz w:val="24"/>
    </w:rPr>
  </w:style>
  <w:style w:type="character" w:customStyle="1" w:styleId="26">
    <w:name w:val="כניסה בגוף טקסט 2 תו"/>
    <w:basedOn w:val="a1"/>
    <w:link w:val="25"/>
    <w:rsid w:val="000118BE"/>
    <w:rPr>
      <w:rFonts w:cs="David"/>
      <w:sz w:val="24"/>
      <w:szCs w:val="24"/>
    </w:rPr>
  </w:style>
  <w:style w:type="paragraph" w:customStyle="1" w:styleId="TableBlock">
    <w:name w:val="Table Block"/>
    <w:basedOn w:val="a"/>
    <w:rsid w:val="000118BE"/>
    <w:pPr>
      <w:keepLines/>
      <w:widowControl w:val="0"/>
      <w:tabs>
        <w:tab w:val="left" w:pos="624"/>
        <w:tab w:val="left" w:pos="1247"/>
      </w:tabs>
      <w:autoSpaceDE w:val="0"/>
      <w:autoSpaceDN w:val="0"/>
      <w:bidi/>
      <w:adjustRightInd w:val="0"/>
      <w:snapToGrid w:val="0"/>
      <w:spacing w:line="360" w:lineRule="auto"/>
      <w:jc w:val="both"/>
      <w:textAlignment w:val="center"/>
    </w:pPr>
    <w:rPr>
      <w:rFonts w:ascii="Arial" w:eastAsia="Arial Unicode MS" w:hAnsi="Arial" w:cs="Arial Unicode MS"/>
      <w:color w:val="000000"/>
      <w:szCs w:val="26"/>
      <w:lang w:eastAsia="ja-JP"/>
    </w:rPr>
  </w:style>
  <w:style w:type="character" w:styleId="FollowedHyperlink">
    <w:name w:val="FollowedHyperlink"/>
    <w:rsid w:val="000118BE"/>
    <w:rPr>
      <w:color w:val="800080"/>
      <w:u w:val="single"/>
    </w:rPr>
  </w:style>
  <w:style w:type="character" w:customStyle="1" w:styleId="default">
    <w:name w:val="default"/>
    <w:rsid w:val="000118BE"/>
    <w:rPr>
      <w:rFonts w:ascii="Times New Roman" w:hAnsi="Times New Roman" w:cs="Times New Roman"/>
      <w:sz w:val="26"/>
      <w:szCs w:val="26"/>
    </w:rPr>
  </w:style>
  <w:style w:type="paragraph" w:customStyle="1" w:styleId="P00">
    <w:name w:val="P00"/>
    <w:rsid w:val="000118BE"/>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paragraph" w:styleId="32">
    <w:name w:val="Body Text Indent 3"/>
    <w:basedOn w:val="a"/>
    <w:link w:val="33"/>
    <w:rsid w:val="000118BE"/>
    <w:pPr>
      <w:spacing w:after="120"/>
      <w:ind w:left="283"/>
    </w:pPr>
    <w:rPr>
      <w:sz w:val="16"/>
      <w:szCs w:val="16"/>
    </w:rPr>
  </w:style>
  <w:style w:type="character" w:customStyle="1" w:styleId="33">
    <w:name w:val="כניסה בגוף טקסט 3 תו"/>
    <w:basedOn w:val="a1"/>
    <w:link w:val="32"/>
    <w:rsid w:val="000118BE"/>
    <w:rPr>
      <w:rFonts w:cs="David"/>
      <w:sz w:val="16"/>
      <w:szCs w:val="16"/>
    </w:rPr>
  </w:style>
  <w:style w:type="paragraph" w:customStyle="1" w:styleId="34">
    <w:name w:val="סגנון3"/>
    <w:basedOn w:val="1"/>
    <w:rsid w:val="000118BE"/>
    <w:rPr>
      <w:i/>
      <w:iCs/>
      <w:shadow/>
      <w:sz w:val="38"/>
      <w:szCs w:val="32"/>
    </w:rPr>
  </w:style>
  <w:style w:type="paragraph" w:customStyle="1" w:styleId="40">
    <w:name w:val="סגנון4"/>
    <w:basedOn w:val="TOC1"/>
    <w:next w:val="20"/>
    <w:rsid w:val="000118BE"/>
    <w:rPr>
      <w:rFonts w:ascii="Times New Roman" w:hAnsi="Times New Roman"/>
      <w:b w:val="0"/>
      <w:bCs w:val="0"/>
      <w:i/>
      <w:iCs/>
      <w:shadow w:val="0"/>
      <w:sz w:val="30"/>
      <w:szCs w:val="28"/>
    </w:rPr>
  </w:style>
  <w:style w:type="paragraph" w:customStyle="1" w:styleId="5">
    <w:name w:val="סגנון5"/>
    <w:basedOn w:val="a"/>
    <w:next w:val="30"/>
    <w:rsid w:val="000118BE"/>
    <w:pPr>
      <w:bidi/>
      <w:jc w:val="both"/>
    </w:pPr>
    <w:rPr>
      <w:rFonts w:ascii="Arial" w:hAnsi="Arial"/>
      <w:b/>
      <w:bCs/>
      <w:i/>
      <w:iCs/>
      <w:shadow/>
      <w:noProof/>
      <w:color w:val="FF0000"/>
      <w:sz w:val="24"/>
    </w:rPr>
  </w:style>
  <w:style w:type="character" w:customStyle="1" w:styleId="apple-style-span">
    <w:name w:val="apple-style-span"/>
    <w:basedOn w:val="a1"/>
    <w:rsid w:val="000118BE"/>
  </w:style>
  <w:style w:type="character" w:styleId="af2">
    <w:name w:val="footnote reference"/>
    <w:semiHidden/>
    <w:rsid w:val="000118BE"/>
    <w:rPr>
      <w:vertAlign w:val="superscript"/>
    </w:rPr>
  </w:style>
  <w:style w:type="paragraph" w:customStyle="1" w:styleId="27">
    <w:name w:val="פיסקת רשימה2"/>
    <w:basedOn w:val="a"/>
    <w:qFormat/>
    <w:rsid w:val="000118BE"/>
    <w:pPr>
      <w:bidi/>
      <w:spacing w:after="200" w:line="276" w:lineRule="auto"/>
      <w:ind w:left="720"/>
      <w:contextualSpacing/>
    </w:pPr>
    <w:rPr>
      <w:rFonts w:ascii="Calibri" w:hAnsi="Calibri" w:cs="Arial"/>
      <w:sz w:val="22"/>
      <w:szCs w:val="22"/>
    </w:rPr>
  </w:style>
  <w:style w:type="character" w:customStyle="1" w:styleId="af3">
    <w:name w:val="פיסקת רשימה תו"/>
    <w:locked/>
    <w:rsid w:val="000118BE"/>
    <w:rPr>
      <w:rFonts w:ascii="Calibri" w:hAnsi="Calibri" w:cs="Arial"/>
      <w:sz w:val="22"/>
      <w:szCs w:val="22"/>
      <w:lang w:val="en-US" w:eastAsia="en-US" w:bidi="he-IL"/>
    </w:rPr>
  </w:style>
  <w:style w:type="paragraph" w:customStyle="1" w:styleId="af4">
    <w:name w:val="פסקה ראשונה"/>
    <w:basedOn w:val="a"/>
    <w:link w:val="af5"/>
    <w:rsid w:val="000118BE"/>
    <w:pPr>
      <w:tabs>
        <w:tab w:val="num" w:pos="360"/>
        <w:tab w:val="left" w:pos="1218"/>
      </w:tabs>
      <w:bidi/>
      <w:spacing w:after="200" w:line="360" w:lineRule="auto"/>
      <w:ind w:left="651" w:right="426"/>
      <w:jc w:val="both"/>
    </w:pPr>
    <w:rPr>
      <w:rFonts w:ascii="Calibri" w:hAnsi="Calibri" w:cs="Times New Roman"/>
      <w:sz w:val="24"/>
    </w:rPr>
  </w:style>
  <w:style w:type="character" w:customStyle="1" w:styleId="af5">
    <w:name w:val="פסקה ראשונה תו"/>
    <w:link w:val="af4"/>
    <w:locked/>
    <w:rsid w:val="000118BE"/>
    <w:rPr>
      <w:rFonts w:ascii="Calibri" w:hAnsi="Calibri"/>
      <w:sz w:val="24"/>
      <w:szCs w:val="24"/>
    </w:rPr>
  </w:style>
  <w:style w:type="paragraph" w:customStyle="1" w:styleId="16">
    <w:name w:val="סגנון 1"/>
    <w:basedOn w:val="a"/>
    <w:link w:val="17"/>
    <w:qFormat/>
    <w:rsid w:val="000118BE"/>
    <w:pPr>
      <w:bidi/>
      <w:spacing w:line="360" w:lineRule="auto"/>
      <w:jc w:val="both"/>
    </w:pPr>
    <w:rPr>
      <w:rFonts w:ascii="David" w:hAnsi="David" w:cs="Narkisim"/>
      <w:b/>
      <w:bCs/>
      <w:i/>
      <w:iCs/>
      <w:shadow/>
      <w:sz w:val="42"/>
      <w:szCs w:val="36"/>
      <w:u w:val="single"/>
    </w:rPr>
  </w:style>
  <w:style w:type="paragraph" w:customStyle="1" w:styleId="2">
    <w:name w:val="סגנון 2"/>
    <w:basedOn w:val="a"/>
    <w:link w:val="28"/>
    <w:qFormat/>
    <w:rsid w:val="000118BE"/>
    <w:pPr>
      <w:numPr>
        <w:numId w:val="1"/>
      </w:numPr>
      <w:bidi/>
      <w:spacing w:line="360" w:lineRule="auto"/>
      <w:ind w:left="0" w:firstLine="0"/>
      <w:jc w:val="both"/>
      <w:outlineLvl w:val="1"/>
    </w:pPr>
    <w:rPr>
      <w:rFonts w:ascii="David" w:hAnsi="David"/>
      <w:b/>
      <w:bCs/>
      <w:sz w:val="36"/>
      <w:szCs w:val="30"/>
      <w:u w:val="single"/>
    </w:rPr>
  </w:style>
  <w:style w:type="character" w:customStyle="1" w:styleId="17">
    <w:name w:val="סגנון 1 תו"/>
    <w:link w:val="16"/>
    <w:rsid w:val="000118BE"/>
    <w:rPr>
      <w:rFonts w:ascii="David" w:hAnsi="David" w:cs="Narkisim"/>
      <w:b/>
      <w:bCs/>
      <w:i/>
      <w:iCs/>
      <w:shadow/>
      <w:sz w:val="42"/>
      <w:szCs w:val="36"/>
      <w:u w:val="single"/>
    </w:rPr>
  </w:style>
  <w:style w:type="paragraph" w:customStyle="1" w:styleId="3">
    <w:name w:val="סגנון 3"/>
    <w:basedOn w:val="a"/>
    <w:link w:val="35"/>
    <w:qFormat/>
    <w:rsid w:val="000118BE"/>
    <w:pPr>
      <w:numPr>
        <w:numId w:val="2"/>
      </w:numPr>
      <w:bidi/>
      <w:spacing w:line="360" w:lineRule="auto"/>
      <w:jc w:val="both"/>
      <w:outlineLvl w:val="1"/>
    </w:pPr>
    <w:rPr>
      <w:rFonts w:ascii="David" w:hAnsi="David"/>
      <w:b/>
      <w:bCs/>
      <w:sz w:val="36"/>
      <w:szCs w:val="30"/>
      <w:u w:val="single"/>
    </w:rPr>
  </w:style>
  <w:style w:type="character" w:customStyle="1" w:styleId="28">
    <w:name w:val="סגנון 2 תו"/>
    <w:link w:val="2"/>
    <w:rsid w:val="000118BE"/>
    <w:rPr>
      <w:rFonts w:ascii="David" w:hAnsi="David" w:cs="David"/>
      <w:b/>
      <w:bCs/>
      <w:sz w:val="36"/>
      <w:szCs w:val="30"/>
      <w:u w:val="single"/>
    </w:rPr>
  </w:style>
  <w:style w:type="paragraph" w:customStyle="1" w:styleId="4">
    <w:name w:val="סגנון 4"/>
    <w:basedOn w:val="a"/>
    <w:link w:val="41"/>
    <w:qFormat/>
    <w:rsid w:val="000118BE"/>
    <w:pPr>
      <w:numPr>
        <w:numId w:val="3"/>
      </w:numPr>
      <w:bidi/>
      <w:spacing w:line="360" w:lineRule="auto"/>
      <w:jc w:val="both"/>
      <w:outlineLvl w:val="1"/>
    </w:pPr>
    <w:rPr>
      <w:rFonts w:ascii="David" w:hAnsi="David"/>
      <w:b/>
      <w:bCs/>
      <w:sz w:val="36"/>
      <w:szCs w:val="30"/>
      <w:u w:val="single"/>
    </w:rPr>
  </w:style>
  <w:style w:type="character" w:customStyle="1" w:styleId="35">
    <w:name w:val="סגנון 3 תו"/>
    <w:link w:val="3"/>
    <w:rsid w:val="000118BE"/>
    <w:rPr>
      <w:rFonts w:ascii="David" w:hAnsi="David" w:cs="David"/>
      <w:b/>
      <w:bCs/>
      <w:sz w:val="36"/>
      <w:szCs w:val="30"/>
      <w:u w:val="single"/>
    </w:rPr>
  </w:style>
  <w:style w:type="paragraph" w:styleId="af6">
    <w:name w:val="TOC Heading"/>
    <w:basedOn w:val="1"/>
    <w:next w:val="a"/>
    <w:uiPriority w:val="39"/>
    <w:semiHidden/>
    <w:unhideWhenUsed/>
    <w:qFormat/>
    <w:rsid w:val="000118BE"/>
    <w:pPr>
      <w:keepNext/>
      <w:keepLines/>
      <w:tabs>
        <w:tab w:val="clear" w:pos="0"/>
      </w:tabs>
      <w:spacing w:before="480" w:line="276" w:lineRule="auto"/>
      <w:ind w:left="0" w:firstLine="0"/>
      <w:jc w:val="left"/>
      <w:outlineLvl w:val="9"/>
    </w:pPr>
    <w:rPr>
      <w:rFonts w:ascii="Cambria" w:hAnsi="Cambria" w:cs="Times New Roman"/>
      <w:b/>
      <w:bCs/>
      <w:color w:val="365F91"/>
      <w:sz w:val="28"/>
      <w:szCs w:val="28"/>
      <w:rtl/>
      <w:cs/>
    </w:rPr>
  </w:style>
  <w:style w:type="character" w:customStyle="1" w:styleId="41">
    <w:name w:val="סגנון 4 תו"/>
    <w:link w:val="4"/>
    <w:rsid w:val="000118BE"/>
    <w:rPr>
      <w:rFonts w:ascii="David" w:hAnsi="David" w:cs="David"/>
      <w:b/>
      <w:bCs/>
      <w:sz w:val="36"/>
      <w:szCs w:val="30"/>
      <w:u w:val="single"/>
    </w:rPr>
  </w:style>
  <w:style w:type="paragraph" w:customStyle="1" w:styleId="18">
    <w:name w:val="נועה 1"/>
    <w:basedOn w:val="1"/>
    <w:next w:val="16"/>
    <w:link w:val="19"/>
    <w:qFormat/>
    <w:rsid w:val="000118BE"/>
    <w:rPr>
      <w:rFonts w:cs="Narkisim"/>
      <w:bCs/>
      <w:iCs/>
      <w:szCs w:val="36"/>
      <w:u w:val="single"/>
    </w:rPr>
  </w:style>
  <w:style w:type="paragraph" w:customStyle="1" w:styleId="29">
    <w:name w:val="נועה 2"/>
    <w:basedOn w:val="2"/>
    <w:link w:val="2a"/>
    <w:qFormat/>
    <w:rsid w:val="000118BE"/>
    <w:pPr>
      <w:spacing w:before="240" w:after="240" w:line="240" w:lineRule="auto"/>
    </w:pPr>
  </w:style>
  <w:style w:type="character" w:customStyle="1" w:styleId="19">
    <w:name w:val="נועה 1 תו"/>
    <w:basedOn w:val="10"/>
    <w:link w:val="18"/>
    <w:rsid w:val="000118BE"/>
    <w:rPr>
      <w:rFonts w:cs="Narkisim"/>
      <w:bCs/>
      <w:iCs/>
      <w:sz w:val="18"/>
      <w:szCs w:val="36"/>
      <w:u w:val="single"/>
    </w:rPr>
  </w:style>
  <w:style w:type="character" w:customStyle="1" w:styleId="2a">
    <w:name w:val="נועה 2 תו"/>
    <w:basedOn w:val="28"/>
    <w:link w:val="29"/>
    <w:rsid w:val="000118BE"/>
    <w:rPr>
      <w:rFonts w:ascii="David" w:hAnsi="David" w:cs="David"/>
      <w:b/>
      <w:bCs/>
      <w:sz w:val="36"/>
      <w:szCs w:val="30"/>
      <w:u w:val="single"/>
    </w:rPr>
  </w:style>
  <w:style w:type="paragraph" w:styleId="af7">
    <w:name w:val="List Paragraph"/>
    <w:basedOn w:val="a"/>
    <w:uiPriority w:val="34"/>
    <w:qFormat/>
    <w:rsid w:val="00CF2F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www.court.gov.il"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www.nevo.co.il" TargetMode="External"/><Relationship Id="rId34" Type="http://schemas.openxmlformats.org/officeDocument/2006/relationships/hyperlink" Target="http://www.nevo.co.il/law_html/law01/039_002.htm" TargetMode="External"/><Relationship Id="rId7" Type="http://schemas.openxmlformats.org/officeDocument/2006/relationships/footnotes" Target="footnotes.xml"/><Relationship Id="rId12" Type="http://schemas.openxmlformats.org/officeDocument/2006/relationships/image" Target="http://images.webydo.com/12/123940/3958/%D7%9C%D7%95%D7%92%D7%95-%D7%A0%D7%92%D7%98%D7%99%D7%91.png?v=44624101212" TargetMode="External"/><Relationship Id="rId17" Type="http://schemas.openxmlformats.org/officeDocument/2006/relationships/hyperlink" Target="http://www.berenzon-law.co.il" TargetMode="External"/><Relationship Id="rId25" Type="http://schemas.openxmlformats.org/officeDocument/2006/relationships/footer" Target="footer4.xml"/><Relationship Id="rId33" Type="http://schemas.openxmlformats.org/officeDocument/2006/relationships/hyperlink" Target="http://www.nevo.co.il/law/71833" TargetMode="External"/><Relationship Id="rId2" Type="http://schemas.openxmlformats.org/officeDocument/2006/relationships/numbering" Target="numbering.xml"/><Relationship Id="rId16" Type="http://schemas.openxmlformats.org/officeDocument/2006/relationships/hyperlink" Target="http://www.berenzon-law.co.il" TargetMode="External"/><Relationship Id="rId20" Type="http://schemas.openxmlformats.org/officeDocument/2006/relationships/hyperlink" Target="http://www.court.gov.il" TargetMode="External"/><Relationship Id="rId29" Type="http://schemas.openxmlformats.org/officeDocument/2006/relationships/hyperlink" Target="http://www.nevo.co.il/law_html/law01/p189_001.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hyperlink" Target="http://www.nevo.co.il/law/71833/19"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hyperlink" Target="http://www.nevo.co.il/law_html/law01/p189_001.htm"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nevo.co.il" TargetMode="External"/><Relationship Id="rId31" Type="http://schemas.openxmlformats.org/officeDocument/2006/relationships/hyperlink" Target="http://www.nevo.co.il/law_html/law01/p176_001.htm"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8.jpeg"/><Relationship Id="rId30" Type="http://schemas.openxmlformats.org/officeDocument/2006/relationships/hyperlink" Target="http://www.nevo.co.il/law_html/law01/p176_001.htm" TargetMode="External"/><Relationship Id="rId35"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C1D69-20B4-4A54-9934-BA5BC342E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63</Pages>
  <Words>21479</Words>
  <Characters>107400</Characters>
  <Application>Microsoft Office Word</Application>
  <DocSecurity>0</DocSecurity>
  <Lines>895</Lines>
  <Paragraphs>257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128622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Noa Kozer</dc:creator>
  <cp:lastModifiedBy>Noa Kozer</cp:lastModifiedBy>
  <cp:revision>16</cp:revision>
  <cp:lastPrinted>2014-04-03T11:57:00Z</cp:lastPrinted>
  <dcterms:created xsi:type="dcterms:W3CDTF">2014-04-03T07:05:00Z</dcterms:created>
  <dcterms:modified xsi:type="dcterms:W3CDTF">2014-04-03T11:57:00Z</dcterms:modified>
</cp:coreProperties>
</file>